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026" w:tblpY="-479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3525"/>
        <w:gridCol w:w="2536"/>
      </w:tblGrid>
      <w:tr w:rsidR="000F6ACA" w:rsidRPr="000C4A35" w14:paraId="6D7417B5" w14:textId="77777777" w:rsidTr="005436C3">
        <w:trPr>
          <w:cantSplit/>
          <w:trHeight w:hRule="exact" w:val="1433"/>
        </w:trPr>
        <w:tc>
          <w:tcPr>
            <w:tcW w:w="5529" w:type="dxa"/>
            <w:vAlign w:val="center"/>
          </w:tcPr>
          <w:p w14:paraId="0BA155EB" w14:textId="77777777" w:rsidR="000F6ACA" w:rsidRPr="000C4A35" w:rsidRDefault="000F6ACA" w:rsidP="005436C3">
            <w:pPr>
              <w:rPr>
                <w:rFonts w:ascii="Arial" w:hAnsi="Arial" w:cs="Arial"/>
                <w:lang w:val="en-Z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B3FF7B0" wp14:editId="600E0AE1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230505</wp:posOffset>
                  </wp:positionV>
                  <wp:extent cx="1724025" cy="544830"/>
                  <wp:effectExtent l="0" t="0" r="9525" b="76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4A35">
              <w:rPr>
                <w:rFonts w:ascii="Arial" w:hAnsi="Arial" w:cs="Arial"/>
                <w:spacing w:val="2"/>
                <w:sz w:val="18"/>
                <w:szCs w:val="18"/>
                <w:lang w:val="en-ZA"/>
              </w:rPr>
              <w:t>S. Alderson Emergency Medical Training (Pty) Ltd</w:t>
            </w:r>
          </w:p>
          <w:p w14:paraId="4769C481" w14:textId="77777777" w:rsidR="000F6ACA" w:rsidRPr="000C4A35" w:rsidRDefault="000F6ACA" w:rsidP="005436C3">
            <w:pPr>
              <w:rPr>
                <w:lang w:val="en-ZA"/>
              </w:rPr>
            </w:pPr>
          </w:p>
          <w:p w14:paraId="3FA4622E" w14:textId="77777777" w:rsidR="000F6ACA" w:rsidRPr="000C4A35" w:rsidRDefault="000F6ACA" w:rsidP="005436C3">
            <w:pPr>
              <w:rPr>
                <w:rFonts w:ascii="Arial" w:hAnsi="Arial" w:cs="Arial"/>
                <w:b/>
                <w:lang w:val="en-ZA"/>
              </w:rPr>
            </w:pPr>
          </w:p>
          <w:p w14:paraId="205745F8" w14:textId="77777777" w:rsidR="000F6ACA" w:rsidRPr="000C4A35" w:rsidRDefault="000F6ACA" w:rsidP="005436C3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Cs/>
                <w:i/>
                <w:iCs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4F240AF7" w14:textId="7197A3C4" w:rsidR="006F7FFE" w:rsidRDefault="00263FE6" w:rsidP="006F7FFE">
            <w:pPr>
              <w:rPr>
                <w:rFonts w:cs="Arial"/>
                <w:b/>
                <w:i/>
                <w:sz w:val="28"/>
                <w:szCs w:val="28"/>
                <w:lang w:val="en-ZA"/>
              </w:rPr>
            </w:pPr>
            <w:r>
              <w:rPr>
                <w:rFonts w:cs="Arial"/>
                <w:b/>
                <w:i/>
                <w:sz w:val="28"/>
                <w:szCs w:val="28"/>
                <w:lang w:val="en-ZA"/>
              </w:rPr>
              <w:t>PROTECTION OF PERSONAL INFORMATION ACT 4, 2013</w:t>
            </w:r>
          </w:p>
          <w:p w14:paraId="34C597B3" w14:textId="154FA09A" w:rsidR="00275C53" w:rsidRPr="000C4A35" w:rsidRDefault="00263FE6" w:rsidP="006F7FFE">
            <w:pPr>
              <w:rPr>
                <w:rFonts w:ascii="Arial" w:hAnsi="Arial" w:cs="Arial"/>
                <w:b/>
                <w:i/>
                <w:sz w:val="20"/>
                <w:szCs w:val="20"/>
                <w:lang w:val="en-ZA"/>
              </w:rPr>
            </w:pPr>
            <w:r>
              <w:rPr>
                <w:rFonts w:cs="Arial"/>
                <w:b/>
                <w:i/>
                <w:sz w:val="28"/>
                <w:szCs w:val="28"/>
                <w:lang w:val="en-ZA"/>
              </w:rPr>
              <w:t>(As of 1</w:t>
            </w:r>
            <w:r w:rsidRPr="00263FE6">
              <w:rPr>
                <w:rFonts w:cs="Arial"/>
                <w:b/>
                <w:i/>
                <w:sz w:val="28"/>
                <w:szCs w:val="28"/>
                <w:vertAlign w:val="superscript"/>
                <w:lang w:val="en-ZA"/>
              </w:rPr>
              <w:t>st</w:t>
            </w:r>
            <w:r>
              <w:rPr>
                <w:rFonts w:cs="Arial"/>
                <w:b/>
                <w:i/>
                <w:sz w:val="28"/>
                <w:szCs w:val="28"/>
                <w:lang w:val="en-ZA"/>
              </w:rPr>
              <w:t xml:space="preserve"> July 2021</w:t>
            </w:r>
            <w:r w:rsidR="00275C53">
              <w:rPr>
                <w:rFonts w:cs="Arial"/>
                <w:b/>
                <w:i/>
                <w:sz w:val="28"/>
                <w:szCs w:val="28"/>
                <w:lang w:val="en-ZA"/>
              </w:rPr>
              <w:t>)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14:paraId="1B596C12" w14:textId="0CB90C9A" w:rsidR="000F6ACA" w:rsidRPr="000C4A35" w:rsidRDefault="000F6ACA" w:rsidP="005436C3">
            <w:pPr>
              <w:spacing w:line="360" w:lineRule="auto"/>
              <w:rPr>
                <w:rFonts w:ascii="Arial" w:hAnsi="Arial"/>
                <w:lang w:val="en-ZA"/>
              </w:rPr>
            </w:pPr>
            <w:r w:rsidRPr="000C4A35">
              <w:rPr>
                <w:rFonts w:ascii="Arial" w:hAnsi="Arial"/>
                <w:lang w:val="en-ZA"/>
              </w:rPr>
              <w:t xml:space="preserve">Doc. No </w:t>
            </w:r>
            <w:r w:rsidR="000845BA">
              <w:rPr>
                <w:rFonts w:ascii="Arial" w:hAnsi="Arial"/>
                <w:lang w:val="en-ZA"/>
              </w:rPr>
              <w:t>POLICY</w:t>
            </w:r>
          </w:p>
          <w:p w14:paraId="5093B14D" w14:textId="77777777" w:rsidR="000F6ACA" w:rsidRPr="000C4A35" w:rsidRDefault="000F6ACA" w:rsidP="005436C3">
            <w:pPr>
              <w:spacing w:line="360" w:lineRule="auto"/>
              <w:rPr>
                <w:rFonts w:ascii="Arial" w:hAnsi="Arial"/>
                <w:lang w:val="en-ZA"/>
              </w:rPr>
            </w:pPr>
            <w:r w:rsidRPr="000C4A35">
              <w:rPr>
                <w:rFonts w:ascii="Arial" w:hAnsi="Arial"/>
                <w:lang w:val="en-ZA"/>
              </w:rPr>
              <w:t>Rev. No.: 0</w:t>
            </w:r>
          </w:p>
          <w:p w14:paraId="4D05AABE" w14:textId="77777777" w:rsidR="000F6ACA" w:rsidRPr="000C4A35" w:rsidRDefault="000F6ACA" w:rsidP="005436C3">
            <w:pPr>
              <w:spacing w:line="360" w:lineRule="auto"/>
              <w:rPr>
                <w:rFonts w:ascii="Arial" w:hAnsi="Arial"/>
                <w:lang w:val="en-ZA"/>
              </w:rPr>
            </w:pPr>
          </w:p>
        </w:tc>
      </w:tr>
      <w:tr w:rsidR="000F6ACA" w:rsidRPr="000C4A35" w14:paraId="0D55808C" w14:textId="77777777" w:rsidTr="005436C3">
        <w:trPr>
          <w:cantSplit/>
          <w:trHeight w:hRule="exact" w:val="917"/>
        </w:trPr>
        <w:tc>
          <w:tcPr>
            <w:tcW w:w="5529" w:type="dxa"/>
          </w:tcPr>
          <w:p w14:paraId="19BE6F0C" w14:textId="77777777" w:rsidR="000F6ACA" w:rsidRPr="000C4A35" w:rsidRDefault="000F6ACA" w:rsidP="005436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0C4A35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Prepa</w:t>
            </w:r>
            <w:r w:rsidRPr="000C4A35">
              <w:rPr>
                <w:rFonts w:ascii="Arial" w:hAnsi="Arial" w:cs="Arial"/>
                <w:color w:val="000000"/>
                <w:spacing w:val="2"/>
                <w:sz w:val="24"/>
                <w:szCs w:val="24"/>
                <w:lang w:val="en-GB"/>
              </w:rPr>
              <w:t>r</w:t>
            </w:r>
            <w:r w:rsidRPr="000C4A35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ed by:</w:t>
            </w:r>
          </w:p>
          <w:p w14:paraId="39B6CF3D" w14:textId="77777777" w:rsidR="000F6ACA" w:rsidRPr="000C4A35" w:rsidRDefault="000F6ACA" w:rsidP="005436C3">
            <w:pPr>
              <w:widowControl w:val="0"/>
              <w:suppressAutoHyphens/>
              <w:autoSpaceDE w:val="0"/>
              <w:autoSpaceDN w:val="0"/>
              <w:adjustRightInd w:val="0"/>
              <w:spacing w:before="34" w:after="0" w:line="240" w:lineRule="exact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0C4A35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en-GB"/>
              </w:rPr>
              <w:t>C. Alderson</w:t>
            </w:r>
          </w:p>
          <w:p w14:paraId="3539339F" w14:textId="77777777" w:rsidR="000F6ACA" w:rsidRPr="000C4A35" w:rsidRDefault="000F6ACA" w:rsidP="005436C3">
            <w:pPr>
              <w:rPr>
                <w:rFonts w:ascii="Arial" w:hAnsi="Arial"/>
                <w:lang w:val="en-ZA"/>
              </w:rPr>
            </w:pPr>
            <w:r w:rsidRPr="000C4A35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  <w:lang w:val="en-GB"/>
              </w:rPr>
              <w:t>Quality Management Representative</w:t>
            </w:r>
          </w:p>
        </w:tc>
        <w:tc>
          <w:tcPr>
            <w:tcW w:w="3525" w:type="dxa"/>
          </w:tcPr>
          <w:p w14:paraId="6E7E3A25" w14:textId="77777777" w:rsidR="000F6ACA" w:rsidRPr="000C4A35" w:rsidRDefault="000F6ACA" w:rsidP="005436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0C4A35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Approved </w:t>
            </w:r>
            <w:r w:rsidRPr="000C4A35">
              <w:rPr>
                <w:rFonts w:ascii="Arial" w:hAnsi="Arial" w:cs="Arial"/>
                <w:color w:val="000000"/>
                <w:spacing w:val="2"/>
                <w:sz w:val="24"/>
                <w:szCs w:val="24"/>
                <w:lang w:val="en-GB"/>
              </w:rPr>
              <w:t>b</w:t>
            </w:r>
            <w:r w:rsidRPr="000C4A35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y:</w:t>
            </w:r>
          </w:p>
          <w:p w14:paraId="7B89800B" w14:textId="77777777" w:rsidR="000F6ACA" w:rsidRPr="000C4A35" w:rsidRDefault="000F6ACA" w:rsidP="005436C3">
            <w:pPr>
              <w:widowControl w:val="0"/>
              <w:suppressAutoHyphens/>
              <w:autoSpaceDE w:val="0"/>
              <w:autoSpaceDN w:val="0"/>
              <w:adjustRightInd w:val="0"/>
              <w:spacing w:before="34" w:after="0" w:line="240" w:lineRule="exact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0C4A35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S. Alderson</w:t>
            </w:r>
          </w:p>
          <w:p w14:paraId="650227B2" w14:textId="77777777" w:rsidR="000F6ACA" w:rsidRPr="000C4A35" w:rsidRDefault="000F6ACA" w:rsidP="005436C3">
            <w:pPr>
              <w:rPr>
                <w:rFonts w:ascii="Arial" w:hAnsi="Arial"/>
                <w:lang w:val="en-ZA"/>
              </w:rPr>
            </w:pPr>
            <w:r w:rsidRPr="000C4A35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  <w:lang w:val="en-GB"/>
              </w:rPr>
              <w:t>CEO</w:t>
            </w:r>
          </w:p>
        </w:tc>
        <w:tc>
          <w:tcPr>
            <w:tcW w:w="2536" w:type="dxa"/>
          </w:tcPr>
          <w:p w14:paraId="1EB9C1B1" w14:textId="77777777" w:rsidR="000F6ACA" w:rsidRPr="000C4A35" w:rsidRDefault="000F6ACA" w:rsidP="005436C3">
            <w:pPr>
              <w:rPr>
                <w:rFonts w:ascii="Arial" w:hAnsi="Arial"/>
                <w:lang w:val="en-ZA"/>
              </w:rPr>
            </w:pPr>
            <w:r w:rsidRPr="000C4A35">
              <w:rPr>
                <w:rFonts w:ascii="Arial" w:hAnsi="Arial"/>
                <w:lang w:val="en-ZA"/>
              </w:rPr>
              <w:t xml:space="preserve">Date:    </w:t>
            </w:r>
          </w:p>
          <w:p w14:paraId="5748579A" w14:textId="4E8F7C12" w:rsidR="000F6ACA" w:rsidRPr="000C4A35" w:rsidRDefault="000F6ACA" w:rsidP="00263FE6">
            <w:pPr>
              <w:rPr>
                <w:rFonts w:ascii="Arial" w:hAnsi="Arial"/>
                <w:lang w:val="en-ZA"/>
              </w:rPr>
            </w:pPr>
            <w:r w:rsidRPr="000C4A35">
              <w:rPr>
                <w:rFonts w:ascii="Arial" w:hAnsi="Arial"/>
                <w:lang w:val="en-ZA"/>
              </w:rPr>
              <w:t>20</w:t>
            </w:r>
            <w:r w:rsidR="00275C53">
              <w:rPr>
                <w:rFonts w:ascii="Arial" w:hAnsi="Arial"/>
                <w:lang w:val="en-ZA"/>
              </w:rPr>
              <w:t>2</w:t>
            </w:r>
            <w:r w:rsidR="00263FE6">
              <w:rPr>
                <w:rFonts w:ascii="Arial" w:hAnsi="Arial"/>
                <w:lang w:val="en-ZA"/>
              </w:rPr>
              <w:t>1</w:t>
            </w:r>
            <w:r w:rsidRPr="000C4A35">
              <w:rPr>
                <w:rFonts w:ascii="Arial" w:hAnsi="Arial"/>
                <w:lang w:val="en-ZA"/>
              </w:rPr>
              <w:t>/</w:t>
            </w:r>
            <w:r w:rsidR="00275C53">
              <w:rPr>
                <w:rFonts w:ascii="Arial" w:hAnsi="Arial"/>
                <w:lang w:val="en-ZA"/>
              </w:rPr>
              <w:t>0</w:t>
            </w:r>
            <w:r w:rsidR="00263FE6">
              <w:rPr>
                <w:rFonts w:ascii="Arial" w:hAnsi="Arial"/>
                <w:lang w:val="en-ZA"/>
              </w:rPr>
              <w:t>6</w:t>
            </w:r>
            <w:r w:rsidRPr="000C4A35">
              <w:rPr>
                <w:rFonts w:ascii="Arial" w:hAnsi="Arial"/>
                <w:lang w:val="en-ZA"/>
              </w:rPr>
              <w:t>/</w:t>
            </w:r>
            <w:r w:rsidR="00263FE6">
              <w:rPr>
                <w:rFonts w:ascii="Arial" w:hAnsi="Arial"/>
                <w:lang w:val="en-ZA"/>
              </w:rPr>
              <w:t>0</w:t>
            </w:r>
            <w:r w:rsidR="00275C53">
              <w:rPr>
                <w:rFonts w:ascii="Arial" w:hAnsi="Arial"/>
                <w:lang w:val="en-ZA"/>
              </w:rPr>
              <w:t>1</w:t>
            </w:r>
            <w:r w:rsidRPr="000C4A35">
              <w:rPr>
                <w:rFonts w:ascii="Arial" w:hAnsi="Arial"/>
                <w:lang w:val="en-ZA"/>
              </w:rPr>
              <w:t xml:space="preserve">  </w:t>
            </w:r>
          </w:p>
        </w:tc>
      </w:tr>
    </w:tbl>
    <w:p w14:paraId="0C6CFFEE" w14:textId="77777777" w:rsidR="000845BA" w:rsidRDefault="000845BA" w:rsidP="000845BA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0"/>
          <w:szCs w:val="20"/>
          <w:lang w:val="en-GB" w:eastAsia="ar-SA"/>
        </w:rPr>
      </w:pPr>
    </w:p>
    <w:p w14:paraId="3FE8CFF5" w14:textId="77777777" w:rsidR="000845BA" w:rsidRDefault="000845BA" w:rsidP="000845BA">
      <w:pPr>
        <w:autoSpaceDE w:val="0"/>
        <w:autoSpaceDN w:val="0"/>
        <w:adjustRightInd w:val="0"/>
        <w:spacing w:after="0" w:line="240" w:lineRule="auto"/>
        <w:ind w:left="-709"/>
        <w:rPr>
          <w:rFonts w:ascii="TT8Et00" w:hAnsi="TT8Et00" w:cs="TT8Et00"/>
          <w:b/>
          <w:sz w:val="24"/>
          <w:szCs w:val="24"/>
          <w:u w:val="single"/>
        </w:rPr>
      </w:pPr>
      <w:r w:rsidRPr="000845BA">
        <w:rPr>
          <w:rFonts w:ascii="TT8Et00" w:hAnsi="TT8Et00" w:cs="TT8Et00"/>
          <w:b/>
          <w:sz w:val="24"/>
          <w:szCs w:val="24"/>
          <w:u w:val="single"/>
        </w:rPr>
        <w:t>SCOPE</w:t>
      </w:r>
    </w:p>
    <w:p w14:paraId="583D1ADA" w14:textId="77777777" w:rsidR="000845BA" w:rsidRDefault="000845BA" w:rsidP="000845BA">
      <w:pPr>
        <w:autoSpaceDE w:val="0"/>
        <w:autoSpaceDN w:val="0"/>
        <w:adjustRightInd w:val="0"/>
        <w:spacing w:after="0" w:line="240" w:lineRule="auto"/>
        <w:ind w:left="-709"/>
        <w:rPr>
          <w:rFonts w:ascii="TT8Et00" w:hAnsi="TT8Et00" w:cs="TT8Et00"/>
          <w:b/>
          <w:sz w:val="24"/>
          <w:szCs w:val="24"/>
          <w:u w:val="single"/>
        </w:rPr>
      </w:pPr>
    </w:p>
    <w:p w14:paraId="3DC25153" w14:textId="77777777" w:rsidR="000845BA" w:rsidRDefault="000845BA" w:rsidP="000845BA">
      <w:pPr>
        <w:autoSpaceDE w:val="0"/>
        <w:autoSpaceDN w:val="0"/>
        <w:adjustRightInd w:val="0"/>
        <w:spacing w:after="0" w:line="240" w:lineRule="auto"/>
        <w:ind w:left="-709"/>
        <w:rPr>
          <w:rFonts w:ascii="TT8Et00" w:hAnsi="TT8Et00" w:cs="TT8Et00"/>
        </w:rPr>
      </w:pPr>
      <w:r>
        <w:rPr>
          <w:rFonts w:ascii="TT8Et00" w:hAnsi="TT8Et00" w:cs="TT8Et00"/>
        </w:rPr>
        <w:t xml:space="preserve">This policy applies to the business of </w:t>
      </w:r>
      <w:r>
        <w:rPr>
          <w:rFonts w:ascii="TT8Et00" w:hAnsi="TT8Et00" w:cs="TT8Et00"/>
        </w:rPr>
        <w:t>S. Alderson Emergency Medical Training, herein SAEMT</w:t>
      </w:r>
      <w:r>
        <w:rPr>
          <w:rFonts w:ascii="TT8Et00" w:hAnsi="TT8Et00" w:cs="TT8Et00"/>
        </w:rPr>
        <w:t xml:space="preserve"> wherever it is</w:t>
      </w:r>
      <w:r>
        <w:rPr>
          <w:rFonts w:ascii="TT8Et00" w:hAnsi="TT8Et00" w:cs="TT8Et00"/>
        </w:rPr>
        <w:t xml:space="preserve"> </w:t>
      </w:r>
      <w:r>
        <w:rPr>
          <w:rFonts w:ascii="TT8Et00" w:hAnsi="TT8Et00" w:cs="TT8Et00"/>
        </w:rPr>
        <w:t>conducted, but based at the registered office. It applies to paid</w:t>
      </w:r>
      <w:r>
        <w:rPr>
          <w:rFonts w:ascii="TT8Et00" w:hAnsi="TT8Et00" w:cs="TT8Et00"/>
        </w:rPr>
        <w:t xml:space="preserve"> staff.</w:t>
      </w:r>
    </w:p>
    <w:p w14:paraId="15F60731" w14:textId="77777777" w:rsidR="000845BA" w:rsidRDefault="000845BA" w:rsidP="000845BA">
      <w:pPr>
        <w:autoSpaceDE w:val="0"/>
        <w:autoSpaceDN w:val="0"/>
        <w:adjustRightInd w:val="0"/>
        <w:spacing w:after="0" w:line="240" w:lineRule="auto"/>
        <w:ind w:left="-709"/>
        <w:rPr>
          <w:rFonts w:ascii="TT8Et00" w:hAnsi="TT8Et00" w:cs="TT8Et00"/>
        </w:rPr>
      </w:pPr>
    </w:p>
    <w:p w14:paraId="33F4E945" w14:textId="77777777" w:rsidR="000845BA" w:rsidRDefault="000845BA" w:rsidP="000845BA">
      <w:pPr>
        <w:autoSpaceDE w:val="0"/>
        <w:autoSpaceDN w:val="0"/>
        <w:adjustRightInd w:val="0"/>
        <w:spacing w:after="0" w:line="240" w:lineRule="auto"/>
        <w:ind w:left="-709"/>
        <w:rPr>
          <w:rFonts w:ascii="TT8Et00" w:hAnsi="TT8Et00" w:cs="TT8Et00"/>
          <w:b/>
          <w:sz w:val="24"/>
          <w:szCs w:val="24"/>
          <w:u w:val="single"/>
        </w:rPr>
      </w:pPr>
      <w:r w:rsidRPr="000845BA">
        <w:rPr>
          <w:rFonts w:ascii="TT8Et00" w:hAnsi="TT8Et00" w:cs="TT8Et00"/>
          <w:b/>
          <w:sz w:val="24"/>
          <w:szCs w:val="24"/>
          <w:u w:val="single"/>
        </w:rPr>
        <w:t>INTRODUCTION</w:t>
      </w:r>
    </w:p>
    <w:p w14:paraId="56315545" w14:textId="77777777" w:rsidR="000845BA" w:rsidRDefault="000845BA" w:rsidP="000845BA">
      <w:pPr>
        <w:autoSpaceDE w:val="0"/>
        <w:autoSpaceDN w:val="0"/>
        <w:adjustRightInd w:val="0"/>
        <w:spacing w:after="0" w:line="240" w:lineRule="auto"/>
        <w:ind w:left="-709"/>
        <w:rPr>
          <w:rFonts w:ascii="TT8Et00" w:hAnsi="TT8Et00" w:cs="TT8Et00"/>
          <w:b/>
          <w:sz w:val="24"/>
          <w:szCs w:val="24"/>
          <w:u w:val="single"/>
        </w:rPr>
      </w:pPr>
    </w:p>
    <w:p w14:paraId="18439E18" w14:textId="5629B05F" w:rsidR="000845BA" w:rsidRDefault="000845BA" w:rsidP="000845BA">
      <w:pPr>
        <w:autoSpaceDE w:val="0"/>
        <w:autoSpaceDN w:val="0"/>
        <w:adjustRightInd w:val="0"/>
        <w:spacing w:after="0" w:line="240" w:lineRule="auto"/>
        <w:ind w:left="-709"/>
        <w:rPr>
          <w:rFonts w:ascii="TT8Et00" w:hAnsi="TT8Et00" w:cs="TT8Et00"/>
        </w:rPr>
      </w:pPr>
      <w:r>
        <w:rPr>
          <w:rFonts w:ascii="TT8Et00" w:hAnsi="TT8Et00" w:cs="TT8Et00"/>
        </w:rPr>
        <w:t>Pu</w:t>
      </w:r>
      <w:r>
        <w:rPr>
          <w:rFonts w:ascii="TT8Et00" w:hAnsi="TT8Et00" w:cs="TT8Et00"/>
        </w:rPr>
        <w:t xml:space="preserve">rpose of this policy is to enable </w:t>
      </w:r>
      <w:r>
        <w:rPr>
          <w:rFonts w:ascii="TT8Et00" w:hAnsi="TT8Et00" w:cs="TT8Et00"/>
        </w:rPr>
        <w:t>SAEMT</w:t>
      </w:r>
      <w:r>
        <w:rPr>
          <w:rFonts w:ascii="TT8Et00" w:hAnsi="TT8Et00" w:cs="TT8Et00"/>
        </w:rPr>
        <w:t xml:space="preserve"> to:</w:t>
      </w:r>
    </w:p>
    <w:p w14:paraId="3A8885D9" w14:textId="38DD457A" w:rsidR="000845BA" w:rsidRDefault="000845BA" w:rsidP="000845BA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>comply with the law in respect of the data it holds about</w:t>
      </w:r>
      <w:r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individuals;</w:t>
      </w:r>
    </w:p>
    <w:p w14:paraId="2283A82E" w14:textId="77777777" w:rsidR="000845BA" w:rsidRDefault="000845BA" w:rsidP="000845BA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>follow good practice;</w:t>
      </w:r>
    </w:p>
    <w:p w14:paraId="2FD7B817" w14:textId="10F51F40" w:rsidR="000845BA" w:rsidRDefault="000845BA" w:rsidP="000845BA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 xml:space="preserve">protect </w:t>
      </w:r>
      <w:r>
        <w:rPr>
          <w:rFonts w:ascii="TTFCt00" w:hAnsi="TTFCt00" w:cs="TTFCt00"/>
        </w:rPr>
        <w:t>SAEMT</w:t>
      </w:r>
      <w:r>
        <w:rPr>
          <w:rFonts w:ascii="TTFCt00" w:hAnsi="TTFCt00" w:cs="TTFCt00"/>
        </w:rPr>
        <w:t>’ staff and other individuals</w:t>
      </w:r>
    </w:p>
    <w:p w14:paraId="7BF2A355" w14:textId="77777777" w:rsidR="000845BA" w:rsidRDefault="000845BA" w:rsidP="000845BA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proofErr w:type="gramStart"/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 xml:space="preserve">protect the </w:t>
      </w:r>
      <w:proofErr w:type="spellStart"/>
      <w:r>
        <w:rPr>
          <w:rFonts w:ascii="TTFCt00" w:hAnsi="TTFCt00" w:cs="TTFCt00"/>
        </w:rPr>
        <w:t>organisation</w:t>
      </w:r>
      <w:proofErr w:type="spellEnd"/>
      <w:r>
        <w:rPr>
          <w:rFonts w:ascii="TTFCt00" w:hAnsi="TTFCt00" w:cs="TTFCt00"/>
        </w:rPr>
        <w:t xml:space="preserve"> from the consequences of a breach</w:t>
      </w:r>
      <w:r>
        <w:rPr>
          <w:rFonts w:ascii="TTFCt00" w:hAnsi="TTFCt00" w:cs="TTFCt00"/>
        </w:rPr>
        <w:t xml:space="preserve"> of its responsibilities.</w:t>
      </w:r>
      <w:proofErr w:type="gramEnd"/>
    </w:p>
    <w:p w14:paraId="567039E1" w14:textId="77777777" w:rsidR="000845BA" w:rsidRDefault="000845BA" w:rsidP="000845BA">
      <w:pPr>
        <w:autoSpaceDE w:val="0"/>
        <w:autoSpaceDN w:val="0"/>
        <w:adjustRightInd w:val="0"/>
        <w:spacing w:after="0" w:line="240" w:lineRule="auto"/>
        <w:ind w:left="-709"/>
        <w:rPr>
          <w:rFonts w:ascii="TT8Et00" w:hAnsi="TT8Et00" w:cs="TT8Et00"/>
        </w:rPr>
      </w:pPr>
    </w:p>
    <w:p w14:paraId="7DB31C47" w14:textId="77777777" w:rsidR="000845BA" w:rsidRDefault="000845BA" w:rsidP="000845BA">
      <w:pPr>
        <w:autoSpaceDE w:val="0"/>
        <w:autoSpaceDN w:val="0"/>
        <w:adjustRightInd w:val="0"/>
        <w:spacing w:after="0" w:line="240" w:lineRule="auto"/>
        <w:ind w:left="-709"/>
        <w:rPr>
          <w:rFonts w:ascii="TTFCt00" w:hAnsi="TTFCt00" w:cs="TTFCt00"/>
          <w:b/>
          <w:sz w:val="24"/>
          <w:szCs w:val="24"/>
          <w:u w:val="single"/>
        </w:rPr>
      </w:pPr>
      <w:r w:rsidRPr="000845BA">
        <w:rPr>
          <w:rFonts w:ascii="TT8Et00" w:hAnsi="TT8Et00" w:cs="TT8Et00"/>
          <w:b/>
          <w:sz w:val="24"/>
          <w:szCs w:val="24"/>
          <w:u w:val="single"/>
        </w:rPr>
        <w:t>PERSONAL INFORMATION</w:t>
      </w:r>
    </w:p>
    <w:p w14:paraId="484AC429" w14:textId="77777777" w:rsidR="000845BA" w:rsidRDefault="000845BA" w:rsidP="000845BA">
      <w:pPr>
        <w:autoSpaceDE w:val="0"/>
        <w:autoSpaceDN w:val="0"/>
        <w:adjustRightInd w:val="0"/>
        <w:spacing w:after="0" w:line="240" w:lineRule="auto"/>
        <w:ind w:left="-709"/>
        <w:rPr>
          <w:rFonts w:ascii="TTFCt00" w:hAnsi="TTFCt00" w:cs="TTFCt00"/>
          <w:b/>
          <w:sz w:val="24"/>
          <w:szCs w:val="24"/>
          <w:u w:val="single"/>
        </w:rPr>
      </w:pPr>
    </w:p>
    <w:p w14:paraId="4EE5912E" w14:textId="77777777" w:rsidR="000845BA" w:rsidRDefault="000845BA" w:rsidP="000845BA">
      <w:pPr>
        <w:autoSpaceDE w:val="0"/>
        <w:autoSpaceDN w:val="0"/>
        <w:adjustRightInd w:val="0"/>
        <w:spacing w:after="0" w:line="240" w:lineRule="auto"/>
        <w:ind w:left="-709"/>
        <w:rPr>
          <w:rFonts w:ascii="TTFCt00" w:hAnsi="TTFCt00" w:cs="TTFCt00"/>
        </w:rPr>
      </w:pPr>
      <w:r>
        <w:rPr>
          <w:rFonts w:ascii="TTFCt00" w:hAnsi="TTFCt00" w:cs="TTFCt00"/>
        </w:rPr>
        <w:t>This policy applies to information relating to identifiable individuals,</w:t>
      </w:r>
      <w:r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in terms of the Protection of Personal Information Act, 2013</w:t>
      </w:r>
      <w:r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(hereinafter POPI</w:t>
      </w:r>
      <w:r>
        <w:rPr>
          <w:rFonts w:ascii="TTFCt00" w:hAnsi="TTFCt00" w:cs="TTFCt00"/>
        </w:rPr>
        <w:t xml:space="preserve"> Act).</w:t>
      </w:r>
    </w:p>
    <w:p w14:paraId="7CBB22C5" w14:textId="77777777" w:rsidR="000845BA" w:rsidRDefault="000845BA" w:rsidP="000845BA">
      <w:pPr>
        <w:autoSpaceDE w:val="0"/>
        <w:autoSpaceDN w:val="0"/>
        <w:adjustRightInd w:val="0"/>
        <w:spacing w:after="0" w:line="240" w:lineRule="auto"/>
        <w:ind w:left="-709"/>
        <w:rPr>
          <w:rFonts w:ascii="TTFCt00" w:hAnsi="TTFCt00" w:cs="TTFCt00"/>
        </w:rPr>
      </w:pPr>
    </w:p>
    <w:p w14:paraId="161BCA11" w14:textId="69A23539" w:rsidR="000845BA" w:rsidRPr="000845BA" w:rsidRDefault="000845BA" w:rsidP="000845BA">
      <w:pPr>
        <w:autoSpaceDE w:val="0"/>
        <w:autoSpaceDN w:val="0"/>
        <w:adjustRightInd w:val="0"/>
        <w:spacing w:after="0" w:line="240" w:lineRule="auto"/>
        <w:ind w:left="-709"/>
        <w:rPr>
          <w:rFonts w:ascii="TTFCt00" w:hAnsi="TTFCt00" w:cs="TTFCt00"/>
          <w:b/>
          <w:sz w:val="24"/>
          <w:szCs w:val="24"/>
          <w:u w:val="single"/>
        </w:rPr>
      </w:pPr>
      <w:r w:rsidRPr="000845BA">
        <w:rPr>
          <w:rFonts w:ascii="TT8Et00" w:hAnsi="TT8Et00" w:cs="TT8Et00"/>
          <w:b/>
          <w:sz w:val="24"/>
          <w:szCs w:val="24"/>
          <w:u w:val="single"/>
        </w:rPr>
        <w:t>POLICY STATEMENT</w:t>
      </w:r>
    </w:p>
    <w:p w14:paraId="4323A267" w14:textId="5BD9D66B" w:rsidR="000845BA" w:rsidRDefault="000845BA" w:rsidP="000845BA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>SAEMT</w:t>
      </w:r>
      <w:r>
        <w:rPr>
          <w:rFonts w:ascii="TTFCt00" w:hAnsi="TTFCt00" w:cs="TTFCt00"/>
        </w:rPr>
        <w:t xml:space="preserve"> will:</w:t>
      </w:r>
    </w:p>
    <w:p w14:paraId="491A140C" w14:textId="77777777" w:rsidR="000845BA" w:rsidRDefault="000845BA" w:rsidP="000845BA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>comply with both the law and good practice</w:t>
      </w:r>
    </w:p>
    <w:p w14:paraId="087FE6E8" w14:textId="77777777" w:rsidR="000845BA" w:rsidRDefault="000845BA" w:rsidP="000845BA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>respect individuals’ rights</w:t>
      </w:r>
    </w:p>
    <w:p w14:paraId="2DC9FDE4" w14:textId="77777777" w:rsidR="000845BA" w:rsidRDefault="000845BA" w:rsidP="000845BA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>be open and honest with individuals whose data is held</w:t>
      </w:r>
    </w:p>
    <w:p w14:paraId="2C650F4A" w14:textId="77777777" w:rsidR="000845BA" w:rsidRDefault="000845BA" w:rsidP="000845BA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>provide training and support for staff who handle personal</w:t>
      </w:r>
      <w:r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 xml:space="preserve">data, so that they can act </w:t>
      </w:r>
    </w:p>
    <w:p w14:paraId="2D5437AC" w14:textId="77777777" w:rsidR="000845BA" w:rsidRDefault="000845BA" w:rsidP="000845BA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 xml:space="preserve">  </w:t>
      </w:r>
      <w:proofErr w:type="gramStart"/>
      <w:r>
        <w:rPr>
          <w:rFonts w:ascii="TTFCt00" w:hAnsi="TTFCt00" w:cs="TTFCt00"/>
        </w:rPr>
        <w:t>confidently</w:t>
      </w:r>
      <w:proofErr w:type="gramEnd"/>
      <w:r>
        <w:rPr>
          <w:rFonts w:ascii="TTFCt00" w:hAnsi="TTFCt00" w:cs="TTFCt00"/>
        </w:rPr>
        <w:t xml:space="preserve"> and consistently</w:t>
      </w:r>
    </w:p>
    <w:p w14:paraId="7C65A151" w14:textId="77777777" w:rsidR="000845BA" w:rsidRDefault="000845BA" w:rsidP="000845BA">
      <w:pPr>
        <w:autoSpaceDE w:val="0"/>
        <w:autoSpaceDN w:val="0"/>
        <w:adjustRightInd w:val="0"/>
        <w:spacing w:after="0" w:line="240" w:lineRule="auto"/>
        <w:ind w:left="-709"/>
        <w:rPr>
          <w:rFonts w:ascii="TTFCt00" w:hAnsi="TTFCt00" w:cs="TTFCt00"/>
        </w:rPr>
      </w:pPr>
    </w:p>
    <w:p w14:paraId="638267F9" w14:textId="4862B2EE" w:rsidR="000845BA" w:rsidRDefault="000845BA" w:rsidP="000845BA">
      <w:pPr>
        <w:autoSpaceDE w:val="0"/>
        <w:autoSpaceDN w:val="0"/>
        <w:adjustRightInd w:val="0"/>
        <w:spacing w:after="0" w:line="240" w:lineRule="auto"/>
        <w:ind w:left="-709"/>
        <w:rPr>
          <w:rFonts w:ascii="TTFCt00" w:hAnsi="TTFCt00" w:cs="TTFCt00"/>
        </w:rPr>
      </w:pPr>
      <w:r>
        <w:rPr>
          <w:rFonts w:ascii="TTFCt00" w:hAnsi="TTFCt00" w:cs="TTFCt00"/>
        </w:rPr>
        <w:t>SAEMT</w:t>
      </w:r>
      <w:r>
        <w:rPr>
          <w:rFonts w:ascii="TTFCt00" w:hAnsi="TTFCt00" w:cs="TTFCt00"/>
        </w:rPr>
        <w:t xml:space="preserve"> </w:t>
      </w:r>
      <w:proofErr w:type="spellStart"/>
      <w:r>
        <w:rPr>
          <w:rFonts w:ascii="TTFCt00" w:hAnsi="TTFCt00" w:cs="TTFCt00"/>
        </w:rPr>
        <w:t>recognises</w:t>
      </w:r>
      <w:proofErr w:type="spellEnd"/>
      <w:r>
        <w:rPr>
          <w:rFonts w:ascii="TTFCt00" w:hAnsi="TTFCt00" w:cs="TTFCt00"/>
        </w:rPr>
        <w:t xml:space="preserve"> that its first priority under the POPI Act is</w:t>
      </w:r>
      <w:r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to avoid causing harm to individuals. In the main this means:</w:t>
      </w:r>
    </w:p>
    <w:p w14:paraId="1CDB9766" w14:textId="77777777" w:rsidR="000845BA" w:rsidRDefault="000845BA" w:rsidP="000845BA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>keeping information securely in the right hands, and</w:t>
      </w:r>
    </w:p>
    <w:p w14:paraId="3099D9DF" w14:textId="77777777" w:rsidR="000845BA" w:rsidRDefault="000845BA" w:rsidP="000845BA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proofErr w:type="gramStart"/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>retenti</w:t>
      </w:r>
      <w:r>
        <w:rPr>
          <w:rFonts w:ascii="TTFCt00" w:hAnsi="TTFCt00" w:cs="TTFCt00"/>
        </w:rPr>
        <w:t>on of good quality information.</w:t>
      </w:r>
      <w:proofErr w:type="gramEnd"/>
    </w:p>
    <w:p w14:paraId="46A3F353" w14:textId="77777777" w:rsidR="000845BA" w:rsidRDefault="000845BA" w:rsidP="000845BA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</w:p>
    <w:p w14:paraId="32251BEE" w14:textId="4288793C" w:rsidR="000845BA" w:rsidRDefault="000845BA" w:rsidP="000845BA">
      <w:pPr>
        <w:autoSpaceDE w:val="0"/>
        <w:autoSpaceDN w:val="0"/>
        <w:adjustRightInd w:val="0"/>
        <w:spacing w:after="0" w:line="240" w:lineRule="auto"/>
        <w:ind w:left="-709"/>
        <w:rPr>
          <w:rFonts w:eastAsia="Times New Roman" w:cs="Times New Roman"/>
          <w:b/>
          <w:sz w:val="32"/>
          <w:szCs w:val="32"/>
          <w:lang w:val="en-GB" w:eastAsia="ar-SA"/>
        </w:rPr>
      </w:pPr>
      <w:r>
        <w:rPr>
          <w:rFonts w:ascii="TTFCt00" w:hAnsi="TTFCt00" w:cs="TTFCt00"/>
        </w:rPr>
        <w:t>Secondly, the Act aims to ensure that the legitimate concerns of</w:t>
      </w:r>
      <w:r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individuals about the ways in which their data may be used are</w:t>
      </w:r>
      <w:r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taken into account. In addition to being open and transparent,</w:t>
      </w:r>
      <w:r>
        <w:rPr>
          <w:rFonts w:ascii="TTFCt00" w:hAnsi="TTFCt00" w:cs="TTFCt00"/>
        </w:rPr>
        <w:t xml:space="preserve"> SAEMT</w:t>
      </w:r>
      <w:r>
        <w:rPr>
          <w:rFonts w:ascii="TTFCt00" w:hAnsi="TTFCt00" w:cs="TTFCt00"/>
        </w:rPr>
        <w:t xml:space="preserve"> will seek to give individuals as much choice as is</w:t>
      </w:r>
      <w:r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possible and reasonable over what data is held and how it is used.</w:t>
      </w:r>
    </w:p>
    <w:p w14:paraId="7F24EF4B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</w:rPr>
      </w:pPr>
    </w:p>
    <w:p w14:paraId="46FD0B6E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</w:rPr>
      </w:pPr>
    </w:p>
    <w:p w14:paraId="74AC461C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</w:rPr>
      </w:pPr>
    </w:p>
    <w:p w14:paraId="100AA77F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</w:rPr>
      </w:pPr>
    </w:p>
    <w:p w14:paraId="03C86844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</w:rPr>
      </w:pPr>
    </w:p>
    <w:p w14:paraId="442BC1FE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</w:rPr>
      </w:pPr>
    </w:p>
    <w:p w14:paraId="0BD4CC95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ind w:left="-709" w:firstLine="283"/>
        <w:rPr>
          <w:rFonts w:ascii="TT8Et00" w:hAnsi="TT8Et00" w:cs="TT8Et00"/>
          <w:b/>
          <w:u w:val="single"/>
        </w:rPr>
      </w:pPr>
      <w:r w:rsidRPr="00AA1913">
        <w:rPr>
          <w:rFonts w:ascii="TT8Et00" w:hAnsi="TT8Et00" w:cs="TT8Et00"/>
          <w:b/>
          <w:u w:val="single"/>
        </w:rPr>
        <w:lastRenderedPageBreak/>
        <w:t>KEY RISKS</w:t>
      </w:r>
    </w:p>
    <w:p w14:paraId="4116944F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ind w:left="-709" w:firstLine="283"/>
        <w:rPr>
          <w:rFonts w:ascii="TT8Et00" w:hAnsi="TT8Et00" w:cs="TT8Et00"/>
          <w:b/>
          <w:u w:val="single"/>
        </w:rPr>
      </w:pPr>
    </w:p>
    <w:p w14:paraId="61393207" w14:textId="60BABA09" w:rsidR="00AA1913" w:rsidRDefault="00AA1913" w:rsidP="00AA1913">
      <w:pPr>
        <w:autoSpaceDE w:val="0"/>
        <w:autoSpaceDN w:val="0"/>
        <w:adjustRightInd w:val="0"/>
        <w:spacing w:after="0" w:line="240" w:lineRule="auto"/>
        <w:ind w:left="-709" w:firstLine="283"/>
        <w:rPr>
          <w:rFonts w:ascii="TTFCt00" w:hAnsi="TTFCt00" w:cs="TTFCt00"/>
        </w:rPr>
      </w:pPr>
      <w:r>
        <w:rPr>
          <w:rFonts w:ascii="TTFCt00" w:hAnsi="TTFCt00" w:cs="TTFCt00"/>
        </w:rPr>
        <w:t>SAEMT</w:t>
      </w:r>
      <w:r>
        <w:rPr>
          <w:rFonts w:ascii="TTFCt00" w:hAnsi="TTFCt00" w:cs="TTFCt00"/>
        </w:rPr>
        <w:t xml:space="preserve"> has identified the following potential key risks, which</w:t>
      </w:r>
      <w:r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this policy is designed to address:</w:t>
      </w:r>
    </w:p>
    <w:p w14:paraId="6237568F" w14:textId="22686A6D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>Breach of confidentiality (information being given out</w:t>
      </w:r>
      <w:r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inappropriately)</w:t>
      </w:r>
    </w:p>
    <w:p w14:paraId="249AF560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>Insufficient clarity about the range of uses to which data will</w:t>
      </w:r>
      <w:r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be put — leading to Data Subjects</w:t>
      </w:r>
    </w:p>
    <w:p w14:paraId="3B880E3B" w14:textId="67C418FF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 xml:space="preserve"> </w:t>
      </w:r>
      <w:proofErr w:type="gramStart"/>
      <w:r>
        <w:rPr>
          <w:rFonts w:ascii="TTFCt00" w:hAnsi="TTFCt00" w:cs="TTFCt00"/>
        </w:rPr>
        <w:t>being</w:t>
      </w:r>
      <w:proofErr w:type="gramEnd"/>
      <w:r>
        <w:rPr>
          <w:rFonts w:ascii="TTFCt00" w:hAnsi="TTFCt00" w:cs="TTFCt00"/>
        </w:rPr>
        <w:t xml:space="preserve"> insufficiently</w:t>
      </w:r>
      <w:r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informed</w:t>
      </w:r>
    </w:p>
    <w:p w14:paraId="6D96CD0A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>Failure to offer choice about data use when appropriate</w:t>
      </w:r>
    </w:p>
    <w:p w14:paraId="4D44F025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 xml:space="preserve">Breach of security by allowing </w:t>
      </w:r>
      <w:proofErr w:type="spellStart"/>
      <w:r>
        <w:rPr>
          <w:rFonts w:ascii="TTFCt00" w:hAnsi="TTFCt00" w:cs="TTFCt00"/>
        </w:rPr>
        <w:t>unauthorised</w:t>
      </w:r>
      <w:proofErr w:type="spellEnd"/>
      <w:r>
        <w:rPr>
          <w:rFonts w:ascii="TTFCt00" w:hAnsi="TTFCt00" w:cs="TTFCt00"/>
        </w:rPr>
        <w:t xml:space="preserve"> access</w:t>
      </w:r>
    </w:p>
    <w:p w14:paraId="68BD8A7D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>Harm to individuals if personal data is not up to date</w:t>
      </w:r>
    </w:p>
    <w:p w14:paraId="4A76CF73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>Data Operator contracts</w:t>
      </w:r>
    </w:p>
    <w:p w14:paraId="68FFE685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</w:rPr>
      </w:pPr>
    </w:p>
    <w:p w14:paraId="4B015A26" w14:textId="4EFCE4D1" w:rsidR="00AA1913" w:rsidRPr="00AA1913" w:rsidRDefault="00AA1913" w:rsidP="00AA1913">
      <w:pPr>
        <w:autoSpaceDE w:val="0"/>
        <w:autoSpaceDN w:val="0"/>
        <w:adjustRightInd w:val="0"/>
        <w:spacing w:after="0" w:line="240" w:lineRule="auto"/>
        <w:ind w:left="-426"/>
        <w:rPr>
          <w:rFonts w:ascii="TT8Et00" w:hAnsi="TT8Et00" w:cs="TT8Et00"/>
          <w:b/>
          <w:u w:val="single"/>
        </w:rPr>
      </w:pPr>
      <w:r w:rsidRPr="00AA1913">
        <w:rPr>
          <w:rFonts w:ascii="TT8Et00" w:hAnsi="TT8Et00" w:cs="TT8Et00"/>
          <w:b/>
          <w:u w:val="single"/>
        </w:rPr>
        <w:t>INFORMATION OFFICER RESPONSIBILITIES</w:t>
      </w:r>
    </w:p>
    <w:p w14:paraId="61016B44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ind w:left="-284" w:hanging="142"/>
        <w:rPr>
          <w:rFonts w:ascii="TT8Et00" w:hAnsi="TT8Et00" w:cs="TT8Et00"/>
        </w:rPr>
      </w:pPr>
    </w:p>
    <w:p w14:paraId="2014F2E3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ind w:left="-284" w:hanging="142"/>
        <w:rPr>
          <w:rFonts w:ascii="TTFCt00" w:hAnsi="TTFCt00" w:cs="TTFCt00"/>
        </w:rPr>
      </w:pPr>
      <w:r>
        <w:rPr>
          <w:rFonts w:ascii="TTFCt00" w:hAnsi="TTFCt00" w:cs="TTFCt00"/>
        </w:rPr>
        <w:t>The scope of this aspect of the policy is defined by the provisions of</w:t>
      </w:r>
      <w:r>
        <w:rPr>
          <w:rFonts w:ascii="TTFCt00" w:hAnsi="TTFCt00" w:cs="TTFCt00"/>
        </w:rPr>
        <w:t xml:space="preserve"> the POPI Act, Condition 1, and</w:t>
      </w:r>
    </w:p>
    <w:p w14:paraId="13EA6623" w14:textId="5EB6BE56" w:rsidR="00AA1913" w:rsidRDefault="00AA1913" w:rsidP="00AA1913">
      <w:pPr>
        <w:autoSpaceDE w:val="0"/>
        <w:autoSpaceDN w:val="0"/>
        <w:adjustRightInd w:val="0"/>
        <w:spacing w:after="0" w:line="240" w:lineRule="auto"/>
        <w:ind w:left="-284" w:hanging="142"/>
        <w:rPr>
          <w:rFonts w:ascii="TTFCt00" w:hAnsi="TTFCt00" w:cs="TTFCt00"/>
        </w:rPr>
      </w:pPr>
      <w:proofErr w:type="gramStart"/>
      <w:r>
        <w:rPr>
          <w:rFonts w:ascii="TTFCt00" w:hAnsi="TTFCt00" w:cs="TTFCt00"/>
        </w:rPr>
        <w:t>Chapter 5, Part B.</w:t>
      </w:r>
      <w:proofErr w:type="gramEnd"/>
    </w:p>
    <w:p w14:paraId="23B0DB36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ind w:left="-284" w:hanging="142"/>
        <w:rPr>
          <w:rFonts w:ascii="TTFCt00" w:hAnsi="TTFCt00" w:cs="TTFCt00"/>
        </w:rPr>
      </w:pPr>
    </w:p>
    <w:p w14:paraId="65BD5F62" w14:textId="08603F04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</w:rPr>
      </w:pPr>
      <w:r>
        <w:rPr>
          <w:rFonts w:ascii="TT8Et00" w:hAnsi="TT8Et00" w:cs="TT8Et00"/>
        </w:rPr>
        <w:t>INFORMATION OFFICER – RESPONSIBILITIES</w:t>
      </w:r>
    </w:p>
    <w:p w14:paraId="352A2352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</w:rPr>
      </w:pPr>
    </w:p>
    <w:p w14:paraId="2D0123D2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>The Information Officer has the following responsibilities:</w:t>
      </w:r>
    </w:p>
    <w:p w14:paraId="563D2A8E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>Developing, publishing and maintaining a POPI Policy which</w:t>
      </w:r>
      <w:r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 xml:space="preserve">addresses all relevant provisions </w:t>
      </w:r>
    </w:p>
    <w:p w14:paraId="1B0F8113" w14:textId="3F3C1994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 xml:space="preserve">  </w:t>
      </w:r>
      <w:proofErr w:type="gramStart"/>
      <w:r>
        <w:rPr>
          <w:rFonts w:ascii="TTFCt00" w:hAnsi="TTFCt00" w:cs="TTFCt00"/>
        </w:rPr>
        <w:t>of</w:t>
      </w:r>
      <w:proofErr w:type="gramEnd"/>
      <w:r>
        <w:rPr>
          <w:rFonts w:ascii="TTFCt00" w:hAnsi="TTFCt00" w:cs="TTFCt00"/>
        </w:rPr>
        <w:t xml:space="preserve"> the POPI Act, including</w:t>
      </w:r>
      <w:r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but not limited to the following:</w:t>
      </w:r>
    </w:p>
    <w:p w14:paraId="3CD76914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>Reviewing the POPI Act and periodic updates as published</w:t>
      </w:r>
    </w:p>
    <w:p w14:paraId="6F083F78" w14:textId="53B7AD0F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>Ensuring that POPI Act induction training takes place for all</w:t>
      </w:r>
      <w:r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staff</w:t>
      </w:r>
    </w:p>
    <w:p w14:paraId="51B4006A" w14:textId="1919B173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>Ensuring that periodic communication awareness on POPI Act</w:t>
      </w:r>
      <w:r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responsibilities takes place</w:t>
      </w:r>
    </w:p>
    <w:p w14:paraId="418D221A" w14:textId="2517FAF5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>Ensuring that Privacy Notices for internal and external</w:t>
      </w:r>
      <w:r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purposes are developed and published</w:t>
      </w:r>
    </w:p>
    <w:p w14:paraId="6511FB59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>Handling data subject access requests</w:t>
      </w:r>
    </w:p>
    <w:p w14:paraId="4173BAFF" w14:textId="72B1EAC2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>Approving unusual or controversial disclosures of personal</w:t>
      </w:r>
      <w:r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data</w:t>
      </w:r>
    </w:p>
    <w:p w14:paraId="0FD99870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>Approving contracts with Data Operators</w:t>
      </w:r>
    </w:p>
    <w:p w14:paraId="0E873511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>Ensuring that appropriate policies and controls are in place</w:t>
      </w:r>
      <w:r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 xml:space="preserve">for ensuring the Information Quality </w:t>
      </w:r>
    </w:p>
    <w:p w14:paraId="56D3C350" w14:textId="78089BB3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 xml:space="preserve">   </w:t>
      </w:r>
      <w:proofErr w:type="gramStart"/>
      <w:r>
        <w:rPr>
          <w:rFonts w:ascii="TTFCt00" w:hAnsi="TTFCt00" w:cs="TTFCt00"/>
        </w:rPr>
        <w:t>of</w:t>
      </w:r>
      <w:proofErr w:type="gramEnd"/>
      <w:r>
        <w:rPr>
          <w:rFonts w:ascii="TTFCt00" w:hAnsi="TTFCt00" w:cs="TTFCt00"/>
        </w:rPr>
        <w:t xml:space="preserve"> personal information</w:t>
      </w:r>
    </w:p>
    <w:p w14:paraId="7EB48CEA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>Ensuring that appropriate Security Safeguards in line with the</w:t>
      </w:r>
      <w:r>
        <w:rPr>
          <w:rFonts w:ascii="TTFCt00" w:hAnsi="TTFCt00" w:cs="TTFCt00"/>
        </w:rPr>
        <w:t xml:space="preserve"> POPI Act for personal</w:t>
      </w:r>
    </w:p>
    <w:p w14:paraId="25704EDB" w14:textId="5AB03108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 xml:space="preserve">   </w:t>
      </w:r>
      <w:proofErr w:type="gramStart"/>
      <w:r>
        <w:rPr>
          <w:rFonts w:ascii="TTFCt00" w:hAnsi="TTFCt00" w:cs="TTFCt00"/>
        </w:rPr>
        <w:t>in</w:t>
      </w:r>
      <w:r>
        <w:rPr>
          <w:rFonts w:ascii="TTFCt00" w:hAnsi="TTFCt00" w:cs="TTFCt00"/>
        </w:rPr>
        <w:t>formation</w:t>
      </w:r>
      <w:proofErr w:type="gramEnd"/>
      <w:r>
        <w:rPr>
          <w:rFonts w:ascii="TTFCt00" w:hAnsi="TTFCt00" w:cs="TTFCt00"/>
        </w:rPr>
        <w:t xml:space="preserve"> are in place</w:t>
      </w:r>
    </w:p>
    <w:p w14:paraId="409C7176" w14:textId="61075296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>Handling all aspects of relationship with the Regulator as</w:t>
      </w:r>
      <w:r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foreseen in the POPI Act</w:t>
      </w:r>
    </w:p>
    <w:p w14:paraId="70F82752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</w:p>
    <w:p w14:paraId="08CA9A3F" w14:textId="37A1193E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>Provide direction to any Deputy Information Officer if and</w:t>
      </w:r>
      <w:r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when appointed</w:t>
      </w:r>
      <w:r>
        <w:rPr>
          <w:rFonts w:ascii="TTFCt00" w:hAnsi="TTFCt00" w:cs="TTFCt00"/>
        </w:rPr>
        <w:t>.</w:t>
      </w:r>
    </w:p>
    <w:p w14:paraId="6A8CD3AA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</w:p>
    <w:p w14:paraId="5F8C128A" w14:textId="7FE27148" w:rsidR="00AA1913" w:rsidRP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  <w:b/>
          <w:u w:val="single"/>
        </w:rPr>
      </w:pPr>
      <w:r w:rsidRPr="00AA1913">
        <w:rPr>
          <w:rFonts w:ascii="TT8Et00" w:hAnsi="TT8Et00" w:cs="TT8Et00"/>
          <w:b/>
          <w:u w:val="single"/>
        </w:rPr>
        <w:t>APPOINTMENT</w:t>
      </w:r>
    </w:p>
    <w:p w14:paraId="4FB0AC78" w14:textId="545188C8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 xml:space="preserve">The appointment of the </w:t>
      </w:r>
      <w:r>
        <w:rPr>
          <w:rFonts w:ascii="TTFCt00" w:hAnsi="TTFCt00" w:cs="TTFCt00"/>
        </w:rPr>
        <w:t xml:space="preserve">SAEMT </w:t>
      </w:r>
      <w:r>
        <w:rPr>
          <w:rFonts w:ascii="TTFCt00" w:hAnsi="TTFCt00" w:cs="TTFCt00"/>
        </w:rPr>
        <w:t>Information Officer will be</w:t>
      </w:r>
      <w:r>
        <w:rPr>
          <w:rFonts w:ascii="TTFCt00" w:hAnsi="TTFCt00" w:cs="TTFCt00"/>
        </w:rPr>
        <w:t xml:space="preserve"> </w:t>
      </w:r>
      <w:proofErr w:type="spellStart"/>
      <w:r>
        <w:rPr>
          <w:rFonts w:ascii="TTFCt00" w:hAnsi="TTFCt00" w:cs="TTFCt00"/>
        </w:rPr>
        <w:t>authorised</w:t>
      </w:r>
      <w:proofErr w:type="spellEnd"/>
      <w:r>
        <w:rPr>
          <w:rFonts w:ascii="TTFCt00" w:hAnsi="TTFCt00" w:cs="TTFCt00"/>
        </w:rPr>
        <w:t xml:space="preserve"> by the Designated Head.</w:t>
      </w:r>
    </w:p>
    <w:p w14:paraId="164FA0E0" w14:textId="50BE8585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>Consideration will be given an annual basis of the re-appointment</w:t>
      </w:r>
      <w:r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or replacement of the Information Officer; the need for any Deputy</w:t>
      </w:r>
      <w:r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to assist the Information Officer.</w:t>
      </w:r>
    </w:p>
    <w:p w14:paraId="38151230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</w:p>
    <w:p w14:paraId="07DB7F74" w14:textId="6F3B5D72" w:rsidR="00AA1913" w:rsidRP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  <w:b/>
          <w:u w:val="single"/>
        </w:rPr>
      </w:pPr>
      <w:r w:rsidRPr="00AA1913">
        <w:rPr>
          <w:rFonts w:ascii="TT8Et00" w:hAnsi="TT8Et00" w:cs="TT8Et00"/>
          <w:b/>
          <w:u w:val="single"/>
        </w:rPr>
        <w:t>PROCESSING LIMITATION</w:t>
      </w:r>
    </w:p>
    <w:p w14:paraId="537CD686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</w:p>
    <w:p w14:paraId="4EC1BBD7" w14:textId="3B6A309C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>The scope of this aspect of the policy is defined by the provisions of</w:t>
      </w:r>
      <w:r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the POPI Act, Condition 2.</w:t>
      </w:r>
    </w:p>
    <w:p w14:paraId="20CE64DD" w14:textId="153C02D9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proofErr w:type="gramStart"/>
      <w:r>
        <w:rPr>
          <w:rFonts w:ascii="TT8Et00" w:hAnsi="TT8Et00" w:cs="TT8Et00"/>
        </w:rPr>
        <w:t>Processing Limitation</w:t>
      </w:r>
      <w:r>
        <w:rPr>
          <w:rFonts w:ascii="TT8Et00" w:hAnsi="TT8Et00" w:cs="TT8Et00"/>
        </w:rPr>
        <w:t>.</w:t>
      </w:r>
      <w:proofErr w:type="gramEnd"/>
      <w:r>
        <w:rPr>
          <w:rFonts w:ascii="TT8Et00" w:hAnsi="TT8Et00" w:cs="TT8Et00"/>
        </w:rPr>
        <w:t xml:space="preserve"> SAEMT</w:t>
      </w:r>
      <w:r>
        <w:rPr>
          <w:rFonts w:ascii="TTFCt00" w:hAnsi="TTFCt00" w:cs="TTFCt00"/>
        </w:rPr>
        <w:t xml:space="preserve"> undertakes to comply with the POPI Act, Conditions 2</w:t>
      </w:r>
      <w:r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in terms of processing limitation, sections 9 to 12, subject to the</w:t>
      </w:r>
      <w:r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following stipulation (Forms of Consent).</w:t>
      </w:r>
    </w:p>
    <w:p w14:paraId="3A4600D8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</w:rPr>
      </w:pPr>
    </w:p>
    <w:p w14:paraId="290035A6" w14:textId="1FF15EB1" w:rsidR="00AA1913" w:rsidRP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  <w:b/>
          <w:u w:val="single"/>
        </w:rPr>
      </w:pPr>
      <w:r w:rsidRPr="00AA1913">
        <w:rPr>
          <w:rFonts w:ascii="TT8Et00" w:hAnsi="TT8Et00" w:cs="TT8Et00"/>
          <w:b/>
          <w:u w:val="single"/>
        </w:rPr>
        <w:t>FORMS OF CONSENT</w:t>
      </w:r>
    </w:p>
    <w:p w14:paraId="2866376A" w14:textId="77777777" w:rsidR="00BF594A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>SAEMT</w:t>
      </w:r>
      <w:r>
        <w:rPr>
          <w:rFonts w:ascii="TTFCt00" w:hAnsi="TTFCt00" w:cs="TTFCt00"/>
        </w:rPr>
        <w:t xml:space="preserve"> undertakes to gain written consent where</w:t>
      </w:r>
      <w:r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appropriate; alternatively a recording must be kept of verbal</w:t>
      </w:r>
      <w:r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consent.</w:t>
      </w:r>
      <w:r>
        <w:rPr>
          <w:rFonts w:ascii="TTFCt00" w:hAnsi="TTFCt00" w:cs="TTFCt00"/>
        </w:rPr>
        <w:t xml:space="preserve"> </w:t>
      </w:r>
    </w:p>
    <w:p w14:paraId="421338A8" w14:textId="7468A330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lastRenderedPageBreak/>
        <w:t xml:space="preserve">SAEMT </w:t>
      </w:r>
      <w:r>
        <w:rPr>
          <w:rFonts w:ascii="TTFCt00" w:hAnsi="TTFCt00" w:cs="TTFCt00"/>
        </w:rPr>
        <w:t>undertakes to comply with the POPI Act, Conditions 2</w:t>
      </w:r>
      <w:r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in terms of processing limitation, sections 13 and 14, subject to the</w:t>
      </w:r>
      <w:r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following stipulation (Retention periods).</w:t>
      </w:r>
    </w:p>
    <w:p w14:paraId="112AE03E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</w:rPr>
      </w:pPr>
    </w:p>
    <w:p w14:paraId="767155CD" w14:textId="784F1197" w:rsidR="00AA1913" w:rsidRP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  <w:b/>
          <w:u w:val="single"/>
        </w:rPr>
      </w:pPr>
      <w:r w:rsidRPr="00AA1913">
        <w:rPr>
          <w:rFonts w:ascii="TT8Et00" w:hAnsi="TT8Et00" w:cs="TT8Et00"/>
          <w:b/>
          <w:u w:val="single"/>
        </w:rPr>
        <w:t>RETENTION PERIODS</w:t>
      </w:r>
    </w:p>
    <w:p w14:paraId="0BFBA046" w14:textId="4544DC65" w:rsidR="00AA1913" w:rsidRDefault="00BF594A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>SAEMT</w:t>
      </w:r>
      <w:r w:rsidR="00AA1913">
        <w:rPr>
          <w:rFonts w:ascii="TTFCt00" w:hAnsi="TTFCt00" w:cs="TTFCt00"/>
        </w:rPr>
        <w:t xml:space="preserve"> will establish retention periods for at least the</w:t>
      </w:r>
      <w:r>
        <w:rPr>
          <w:rFonts w:ascii="TTFCt00" w:hAnsi="TTFCt00" w:cs="TTFCt00"/>
        </w:rPr>
        <w:t xml:space="preserve"> </w:t>
      </w:r>
      <w:r w:rsidR="00AA1913">
        <w:rPr>
          <w:rFonts w:ascii="TTFCt00" w:hAnsi="TTFCt00" w:cs="TTFCt00"/>
        </w:rPr>
        <w:t>following categories of data:</w:t>
      </w:r>
    </w:p>
    <w:p w14:paraId="4F40455E" w14:textId="734F4990" w:rsidR="00AA1913" w:rsidRPr="00BF594A" w:rsidRDefault="00AA1913" w:rsidP="00BF594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 w:rsidRPr="00BF594A">
        <w:rPr>
          <w:rFonts w:ascii="TTFCt00" w:hAnsi="TTFCt00" w:cs="TTFCt00"/>
        </w:rPr>
        <w:t>Directors</w:t>
      </w:r>
    </w:p>
    <w:p w14:paraId="6FB1F9DE" w14:textId="22044C2C" w:rsidR="00AA1913" w:rsidRPr="00BF594A" w:rsidRDefault="00AA1913" w:rsidP="00BF594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 w:rsidRPr="00BF594A">
        <w:rPr>
          <w:rFonts w:ascii="TTFCt00" w:hAnsi="TTFCt00" w:cs="TTFCt00"/>
        </w:rPr>
        <w:t>Staff</w:t>
      </w:r>
    </w:p>
    <w:p w14:paraId="3F7C2FD1" w14:textId="6370CF07" w:rsidR="00BF594A" w:rsidRPr="00BF594A" w:rsidRDefault="00BF594A" w:rsidP="00BF594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 w:rsidRPr="00BF594A">
        <w:rPr>
          <w:rFonts w:ascii="TTFCt00" w:hAnsi="TTFCt00" w:cs="TTFCt00"/>
        </w:rPr>
        <w:t>Learners</w:t>
      </w:r>
    </w:p>
    <w:p w14:paraId="1DEEB7DB" w14:textId="1FC4E19F" w:rsidR="00BF594A" w:rsidRPr="00BF594A" w:rsidRDefault="00BF594A" w:rsidP="00BF594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 w:rsidRPr="00BF594A">
        <w:rPr>
          <w:rFonts w:ascii="TTFCt00" w:hAnsi="TTFCt00" w:cs="TTFCt00"/>
        </w:rPr>
        <w:t>Facilitators</w:t>
      </w:r>
    </w:p>
    <w:p w14:paraId="050EB1BA" w14:textId="118C0201" w:rsidR="00BF594A" w:rsidRPr="00BF594A" w:rsidRDefault="00BF594A" w:rsidP="00BF594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 w:rsidRPr="00BF594A">
        <w:rPr>
          <w:rFonts w:ascii="TTFCt00" w:hAnsi="TTFCt00" w:cs="TTFCt00"/>
        </w:rPr>
        <w:t>Assessors</w:t>
      </w:r>
    </w:p>
    <w:p w14:paraId="5F105B50" w14:textId="43359018" w:rsidR="00BF594A" w:rsidRPr="00BF594A" w:rsidRDefault="00BF594A" w:rsidP="00BF594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 w:rsidRPr="00BF594A">
        <w:rPr>
          <w:rFonts w:ascii="TTFCt00" w:hAnsi="TTFCt00" w:cs="TTFCt00"/>
        </w:rPr>
        <w:t>Moderators</w:t>
      </w:r>
    </w:p>
    <w:p w14:paraId="61D7F0EE" w14:textId="1A432BA9" w:rsidR="00BF594A" w:rsidRPr="00BF594A" w:rsidRDefault="00BF594A" w:rsidP="00BF594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 w:rsidRPr="00BF594A">
        <w:rPr>
          <w:rFonts w:ascii="TTFCt00" w:hAnsi="TTFCt00" w:cs="TTFCt00"/>
        </w:rPr>
        <w:t>Accrediting bodies</w:t>
      </w:r>
    </w:p>
    <w:p w14:paraId="34F3D0FB" w14:textId="51CD7B6E" w:rsidR="00AA1913" w:rsidRPr="00BF594A" w:rsidRDefault="00AA1913" w:rsidP="00BF594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 w:rsidRPr="00BF594A">
        <w:rPr>
          <w:rFonts w:ascii="TTFCt00" w:hAnsi="TTFCt00" w:cs="TTFCt00"/>
        </w:rPr>
        <w:t>Suppliers</w:t>
      </w:r>
    </w:p>
    <w:p w14:paraId="142A14AC" w14:textId="77777777" w:rsidR="00BF594A" w:rsidRDefault="00BF594A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</w:p>
    <w:p w14:paraId="0C75A4DB" w14:textId="033CB6A6" w:rsidR="00AA1913" w:rsidRDefault="00BF594A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 xml:space="preserve">SAEMT </w:t>
      </w:r>
      <w:r w:rsidR="00AA1913">
        <w:rPr>
          <w:rFonts w:ascii="TTFCt00" w:hAnsi="TTFCt00" w:cs="TTFCt00"/>
        </w:rPr>
        <w:t>will regularly review its procedures for ensuring that</w:t>
      </w:r>
      <w:r>
        <w:rPr>
          <w:rFonts w:ascii="TTFCt00" w:hAnsi="TTFCt00" w:cs="TTFCt00"/>
        </w:rPr>
        <w:t xml:space="preserve"> </w:t>
      </w:r>
      <w:r w:rsidR="00AA1913">
        <w:rPr>
          <w:rFonts w:ascii="TTFCt00" w:hAnsi="TTFCt00" w:cs="TTFCt00"/>
        </w:rPr>
        <w:t>its records remain accurate and consistent and, in particular:</w:t>
      </w:r>
    </w:p>
    <w:p w14:paraId="24EC9778" w14:textId="77777777" w:rsidR="00BF594A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>ICT systems will be designed, where possible, to encourage</w:t>
      </w:r>
      <w:r w:rsidR="00BF594A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 xml:space="preserve">and facilitate the entry of accurate </w:t>
      </w:r>
    </w:p>
    <w:p w14:paraId="3DD51CC4" w14:textId="56DC95A8" w:rsidR="00AA1913" w:rsidRDefault="00BF594A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 xml:space="preserve">  </w:t>
      </w:r>
      <w:proofErr w:type="gramStart"/>
      <w:r w:rsidR="00AA1913">
        <w:rPr>
          <w:rFonts w:ascii="TTFCt00" w:hAnsi="TTFCt00" w:cs="TTFCt00"/>
        </w:rPr>
        <w:t>data</w:t>
      </w:r>
      <w:proofErr w:type="gramEnd"/>
      <w:r w:rsidR="00AA1913">
        <w:rPr>
          <w:rFonts w:ascii="TTFCt00" w:hAnsi="TTFCt00" w:cs="TTFCt00"/>
        </w:rPr>
        <w:t>.</w:t>
      </w:r>
    </w:p>
    <w:p w14:paraId="0EE2326A" w14:textId="57F0AFDE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>Data on any individual will be held in as few places as</w:t>
      </w:r>
      <w:r w:rsidR="00BF594A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 xml:space="preserve">necessary, and all staff will be </w:t>
      </w:r>
      <w:r w:rsidR="00BF594A">
        <w:rPr>
          <w:rFonts w:ascii="TTFCt00" w:hAnsi="TTFCt00" w:cs="TTFCt00"/>
        </w:rPr>
        <w:t>di</w:t>
      </w:r>
      <w:r>
        <w:rPr>
          <w:rFonts w:ascii="TTFCt00" w:hAnsi="TTFCt00" w:cs="TTFCt00"/>
        </w:rPr>
        <w:t>scouraged from establishing</w:t>
      </w:r>
      <w:r w:rsidR="00BF594A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unnecessary additional data sets.</w:t>
      </w:r>
    </w:p>
    <w:p w14:paraId="2E7255A2" w14:textId="0142BD0E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>Effective procedures will be in place so that all relevant</w:t>
      </w:r>
      <w:r w:rsidR="00BF594A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systems are updated when information about any individual</w:t>
      </w:r>
      <w:r w:rsidR="00BF594A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changes.</w:t>
      </w:r>
    </w:p>
    <w:p w14:paraId="3FFA961E" w14:textId="1325802F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>Staff who keep more detailed information about individuals</w:t>
      </w:r>
      <w:r w:rsidR="00BF594A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will be given additional guidance on accuracy in record</w:t>
      </w:r>
      <w:r w:rsidR="00BF594A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keeping.</w:t>
      </w:r>
    </w:p>
    <w:p w14:paraId="20B33543" w14:textId="77777777" w:rsidR="00BF594A" w:rsidRDefault="00BF594A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</w:rPr>
      </w:pPr>
    </w:p>
    <w:p w14:paraId="0B5DD2C5" w14:textId="59D67823" w:rsidR="00AA1913" w:rsidRPr="00BF594A" w:rsidRDefault="00BF594A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  <w:b/>
          <w:u w:val="single"/>
        </w:rPr>
      </w:pPr>
      <w:r w:rsidRPr="00BF594A">
        <w:rPr>
          <w:rFonts w:ascii="TT8Et00" w:hAnsi="TT8Et00" w:cs="TT8Et00"/>
          <w:b/>
          <w:u w:val="single"/>
        </w:rPr>
        <w:t>UPDATING</w:t>
      </w:r>
    </w:p>
    <w:p w14:paraId="1D7AC411" w14:textId="3D5AA0DD" w:rsidR="00AA1913" w:rsidRDefault="00BF594A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>SAEMT</w:t>
      </w:r>
      <w:r w:rsidR="00AA1913">
        <w:rPr>
          <w:rFonts w:ascii="TTFCt00" w:hAnsi="TTFCt00" w:cs="TTFCt00"/>
        </w:rPr>
        <w:t xml:space="preserve"> will review all personal information on an annual</w:t>
      </w:r>
      <w:r>
        <w:rPr>
          <w:rFonts w:ascii="TTFCt00" w:hAnsi="TTFCt00" w:cs="TTFCt00"/>
        </w:rPr>
        <w:t xml:space="preserve"> </w:t>
      </w:r>
      <w:r w:rsidR="00AA1913">
        <w:rPr>
          <w:rFonts w:ascii="TTFCt00" w:hAnsi="TTFCt00" w:cs="TTFCt00"/>
        </w:rPr>
        <w:t>basis in November of each year.</w:t>
      </w:r>
    </w:p>
    <w:p w14:paraId="58DA0F82" w14:textId="77777777" w:rsidR="00BF594A" w:rsidRDefault="00BF594A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</w:rPr>
      </w:pPr>
    </w:p>
    <w:p w14:paraId="09C07A8C" w14:textId="331F8C93" w:rsidR="00AA1913" w:rsidRPr="00BF594A" w:rsidRDefault="00BF594A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  <w:b/>
          <w:u w:val="single"/>
        </w:rPr>
      </w:pPr>
      <w:r w:rsidRPr="00BF594A">
        <w:rPr>
          <w:rFonts w:ascii="TT8Et00" w:hAnsi="TT8Et00" w:cs="TT8Et00"/>
          <w:b/>
          <w:u w:val="single"/>
        </w:rPr>
        <w:t>ARCHIVING</w:t>
      </w:r>
    </w:p>
    <w:p w14:paraId="62CE11C3" w14:textId="5EF46479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 xml:space="preserve">Archived electronic records of </w:t>
      </w:r>
      <w:r w:rsidR="00BF594A">
        <w:rPr>
          <w:rFonts w:ascii="TTFCt00" w:hAnsi="TTFCt00" w:cs="TTFCt00"/>
        </w:rPr>
        <w:t xml:space="preserve">SAEMT </w:t>
      </w:r>
      <w:r>
        <w:rPr>
          <w:rFonts w:ascii="TTFCt00" w:hAnsi="TTFCt00" w:cs="TTFCt00"/>
        </w:rPr>
        <w:t>are stored securely off</w:t>
      </w:r>
      <w:r w:rsidR="00BF594A">
        <w:rPr>
          <w:rFonts w:ascii="TTFCt00" w:hAnsi="TTFCt00" w:cs="TTFCt00"/>
        </w:rPr>
        <w:t xml:space="preserve"> and on </w:t>
      </w:r>
      <w:r>
        <w:rPr>
          <w:rFonts w:ascii="TTFCt00" w:hAnsi="TTFCt00" w:cs="TTFCt00"/>
        </w:rPr>
        <w:t>site</w:t>
      </w:r>
      <w:r w:rsidR="00BF594A">
        <w:rPr>
          <w:rFonts w:ascii="TTFCt00" w:hAnsi="TTFCt00" w:cs="TTFCt00"/>
        </w:rPr>
        <w:t xml:space="preserve">. </w:t>
      </w:r>
      <w:r>
        <w:rPr>
          <w:rFonts w:ascii="TTFCt00" w:hAnsi="TTFCt00" w:cs="TTFCt00"/>
        </w:rPr>
        <w:t>A certificate of destruction will be obtained for each batch of</w:t>
      </w:r>
      <w:r w:rsidR="00BF594A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archived documents destroyed.</w:t>
      </w:r>
    </w:p>
    <w:p w14:paraId="60BF6ED1" w14:textId="77777777" w:rsidR="00BF594A" w:rsidRDefault="00BF594A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</w:p>
    <w:p w14:paraId="168C5809" w14:textId="65070EC7" w:rsidR="00AA1913" w:rsidRPr="00BF594A" w:rsidRDefault="00BF594A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</w:rPr>
      </w:pPr>
      <w:r w:rsidRPr="00BF594A">
        <w:rPr>
          <w:rFonts w:ascii="TT8Et00" w:hAnsi="TT8Et00" w:cs="TT8Et00"/>
        </w:rPr>
        <w:t>OPENNESS</w:t>
      </w:r>
    </w:p>
    <w:p w14:paraId="0B1AD822" w14:textId="77777777" w:rsidR="00BF594A" w:rsidRDefault="00BF594A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</w:rPr>
      </w:pPr>
    </w:p>
    <w:p w14:paraId="7E4AF0E3" w14:textId="3322181B" w:rsidR="00AA1913" w:rsidRDefault="00BF594A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8Et00" w:hAnsi="TT8Et00" w:cs="TT8Et00"/>
        </w:rPr>
        <w:t>SAEMT</w:t>
      </w:r>
      <w:r w:rsidR="00AA1913">
        <w:rPr>
          <w:rFonts w:ascii="TTFCt00" w:hAnsi="TTFCt00" w:cs="TTFCt00"/>
        </w:rPr>
        <w:t xml:space="preserve"> is</w:t>
      </w:r>
      <w:r>
        <w:rPr>
          <w:rFonts w:ascii="TTFCt00" w:hAnsi="TTFCt00" w:cs="TTFCt00"/>
        </w:rPr>
        <w:t xml:space="preserve"> </w:t>
      </w:r>
      <w:r w:rsidR="00AA1913">
        <w:rPr>
          <w:rFonts w:ascii="TTFCt00" w:hAnsi="TTFCt00" w:cs="TTFCt00"/>
        </w:rPr>
        <w:t>committed to ensuring that in principle Data Subjects are aware</w:t>
      </w:r>
      <w:r>
        <w:rPr>
          <w:rFonts w:ascii="TTFCt00" w:hAnsi="TTFCt00" w:cs="TTFCt00"/>
        </w:rPr>
        <w:t xml:space="preserve"> </w:t>
      </w:r>
      <w:r w:rsidR="00AA1913">
        <w:rPr>
          <w:rFonts w:ascii="TTFCt00" w:hAnsi="TTFCt00" w:cs="TTFCt00"/>
        </w:rPr>
        <w:t>that their data is being processed and</w:t>
      </w:r>
    </w:p>
    <w:p w14:paraId="1C083485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>for what purpose it is being processed;</w:t>
      </w:r>
    </w:p>
    <w:p w14:paraId="01D39621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>what types of disclosure are likely; and</w:t>
      </w:r>
    </w:p>
    <w:p w14:paraId="2D33323A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proofErr w:type="gramStart"/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>how to exercise their rights in relation to the data.</w:t>
      </w:r>
      <w:proofErr w:type="gramEnd"/>
    </w:p>
    <w:p w14:paraId="3E039A0D" w14:textId="77777777" w:rsidR="00BF594A" w:rsidRDefault="00BF594A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</w:rPr>
      </w:pPr>
    </w:p>
    <w:p w14:paraId="201AA46E" w14:textId="61B50775" w:rsidR="00AA1913" w:rsidRDefault="00BF594A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</w:rPr>
      </w:pPr>
      <w:r>
        <w:rPr>
          <w:rFonts w:ascii="TT8Et00" w:hAnsi="TT8Et00" w:cs="TT8Et00"/>
        </w:rPr>
        <w:t>PROCEDURE</w:t>
      </w:r>
    </w:p>
    <w:p w14:paraId="3922D3C6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>Data Subjects will generally be informed in the following ways:</w:t>
      </w:r>
    </w:p>
    <w:p w14:paraId="0823152C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>Staff: through this policy</w:t>
      </w:r>
    </w:p>
    <w:p w14:paraId="40D6D8FE" w14:textId="5238539B" w:rsidR="00AA1913" w:rsidRDefault="00AA1913" w:rsidP="00BF594A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 xml:space="preserve">Customers and other interested parties: through the </w:t>
      </w:r>
      <w:r w:rsidR="00BF594A">
        <w:rPr>
          <w:rFonts w:ascii="TTFCt00" w:hAnsi="TTFCt00" w:cs="TTFCt00"/>
        </w:rPr>
        <w:t>SAEMT</w:t>
      </w:r>
      <w:r>
        <w:rPr>
          <w:rFonts w:ascii="TTFCt00" w:hAnsi="TTFCt00" w:cs="TTFCt00"/>
        </w:rPr>
        <w:t xml:space="preserve"> Privacy </w:t>
      </w:r>
      <w:r w:rsidR="00BF594A">
        <w:rPr>
          <w:rFonts w:ascii="TTFCt00" w:hAnsi="TTFCt00" w:cs="TTFCt00"/>
        </w:rPr>
        <w:t>Policy</w:t>
      </w:r>
    </w:p>
    <w:p w14:paraId="45A125EA" w14:textId="77777777" w:rsidR="00BF594A" w:rsidRDefault="00BF594A" w:rsidP="00BF594A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</w:p>
    <w:p w14:paraId="17DEBFDC" w14:textId="53CF0F44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>Whenever data is collected, the number of mandatory fields will be</w:t>
      </w:r>
      <w:r w:rsidR="00BF594A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kept to a minimum and Data Subjects will be informed which fields</w:t>
      </w:r>
      <w:r w:rsidR="00BF594A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are mandatory and why.</w:t>
      </w:r>
    </w:p>
    <w:p w14:paraId="49899944" w14:textId="77777777" w:rsidR="00BF594A" w:rsidRDefault="00BF594A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</w:rPr>
      </w:pPr>
    </w:p>
    <w:p w14:paraId="3EC99F51" w14:textId="77777777" w:rsidR="00BF594A" w:rsidRDefault="00BF594A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</w:rPr>
      </w:pPr>
    </w:p>
    <w:p w14:paraId="57F1C98E" w14:textId="77777777" w:rsidR="00BF594A" w:rsidRDefault="00BF594A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</w:rPr>
      </w:pPr>
    </w:p>
    <w:p w14:paraId="2B1E6201" w14:textId="0E6E00B6" w:rsidR="00AA1913" w:rsidRPr="00BF594A" w:rsidRDefault="00BF594A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  <w:b/>
          <w:u w:val="single"/>
        </w:rPr>
      </w:pPr>
      <w:r w:rsidRPr="00BF594A">
        <w:rPr>
          <w:rFonts w:ascii="TT8Et00" w:hAnsi="TT8Et00" w:cs="TT8Et00"/>
          <w:b/>
          <w:u w:val="single"/>
        </w:rPr>
        <w:lastRenderedPageBreak/>
        <w:t>SECURITY SAFEGUARDS</w:t>
      </w:r>
    </w:p>
    <w:p w14:paraId="706ECBE2" w14:textId="7178D3D6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</w:p>
    <w:p w14:paraId="405C38FE" w14:textId="4E9E0AEB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>This section of the policy only addresses security issues relating to</w:t>
      </w:r>
      <w:r w:rsidR="00BF594A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personal information. It does not cover security of the building,</w:t>
      </w:r>
      <w:r w:rsidR="00BF594A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business continuity or any other aspect of security.</w:t>
      </w:r>
    </w:p>
    <w:p w14:paraId="2015B130" w14:textId="77777777" w:rsidR="00BF594A" w:rsidRDefault="00BF594A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</w:rPr>
      </w:pPr>
    </w:p>
    <w:p w14:paraId="2D034077" w14:textId="2E09F53A" w:rsidR="00AA1913" w:rsidRDefault="00BF594A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</w:rPr>
      </w:pPr>
      <w:r>
        <w:rPr>
          <w:rFonts w:ascii="TT8Et00" w:hAnsi="TT8Et00" w:cs="TT8Et00"/>
        </w:rPr>
        <w:t>SPECIFIC RISKS</w:t>
      </w:r>
    </w:p>
    <w:p w14:paraId="70CCE70D" w14:textId="6BEFA0D2" w:rsidR="00AA1913" w:rsidRDefault="00BF594A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>SAEMT</w:t>
      </w:r>
      <w:r w:rsidR="00AA1913">
        <w:rPr>
          <w:rFonts w:ascii="TTFCt00" w:hAnsi="TTFCt00" w:cs="TTFCt00"/>
        </w:rPr>
        <w:t xml:space="preserve"> has identified the following risks:</w:t>
      </w:r>
    </w:p>
    <w:p w14:paraId="7FC8C50C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>Staff with access to personal information could misuse it.</w:t>
      </w:r>
    </w:p>
    <w:p w14:paraId="7022FFAB" w14:textId="1F2636BD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TFCt00" w:hAnsi="TTFCt00" w:cs="TTFCt00"/>
        </w:rPr>
        <w:t>Staff may be tricked into giving away information, either</w:t>
      </w:r>
      <w:r w:rsidR="00BF594A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about customers / member or colleagues, especially over</w:t>
      </w:r>
      <w:r w:rsidR="00BF594A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the phone, through “social engineering”.</w:t>
      </w:r>
    </w:p>
    <w:p w14:paraId="180EA56A" w14:textId="77777777" w:rsidR="00BF594A" w:rsidRDefault="00BF594A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</w:p>
    <w:p w14:paraId="09B743C7" w14:textId="004B4B80" w:rsidR="00AA1913" w:rsidRPr="00BF594A" w:rsidRDefault="00BF594A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  <w:b/>
          <w:u w:val="single"/>
        </w:rPr>
      </w:pPr>
      <w:r w:rsidRPr="00BF594A">
        <w:rPr>
          <w:rFonts w:ascii="TT8Et00" w:hAnsi="TT8Et00" w:cs="TT8Et00"/>
          <w:b/>
          <w:u w:val="single"/>
        </w:rPr>
        <w:t>SETTING SECURITY LEVELS</w:t>
      </w:r>
    </w:p>
    <w:p w14:paraId="33030B42" w14:textId="43552989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 xml:space="preserve">Access to information on the main </w:t>
      </w:r>
      <w:r w:rsidR="00BF594A">
        <w:rPr>
          <w:rFonts w:ascii="TTFCt00" w:hAnsi="TTFCt00" w:cs="TTFCt00"/>
        </w:rPr>
        <w:t>SAEMT</w:t>
      </w:r>
      <w:r>
        <w:rPr>
          <w:rFonts w:ascii="TTFCt00" w:hAnsi="TTFCt00" w:cs="TTFCt00"/>
        </w:rPr>
        <w:t xml:space="preserve"> computer system</w:t>
      </w:r>
      <w:r w:rsidR="00BF594A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will be controlled by function.</w:t>
      </w:r>
    </w:p>
    <w:p w14:paraId="7D323355" w14:textId="25BB7DC4" w:rsidR="00AA1913" w:rsidRDefault="00BF594A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>SAEMT</w:t>
      </w:r>
      <w:r w:rsidR="00AA1913">
        <w:rPr>
          <w:rFonts w:ascii="TTFCt00" w:hAnsi="TTFCt00" w:cs="TTFCt00"/>
        </w:rPr>
        <w:t xml:space="preserve"> has used the POPI-Personal Information Diagnostic</w:t>
      </w:r>
      <w:r>
        <w:rPr>
          <w:rFonts w:ascii="TTFCt00" w:hAnsi="TTFCt00" w:cs="TTFCt00"/>
        </w:rPr>
        <w:t xml:space="preserve"> </w:t>
      </w:r>
      <w:r w:rsidR="00AA1913">
        <w:rPr>
          <w:rFonts w:ascii="TTFCt00" w:hAnsi="TTFCt00" w:cs="TTFCt00"/>
        </w:rPr>
        <w:t>tool to identify security levels required for each record held which</w:t>
      </w:r>
      <w:r>
        <w:rPr>
          <w:rFonts w:ascii="TTFCt00" w:hAnsi="TTFCt00" w:cs="TTFCt00"/>
        </w:rPr>
        <w:t xml:space="preserve"> contains Personal Information </w:t>
      </w:r>
      <w:r w:rsidR="00AA1913">
        <w:rPr>
          <w:rFonts w:ascii="TT8Et00" w:hAnsi="TT8Et00" w:cs="TT8Et00"/>
        </w:rPr>
        <w:t>Security measures</w:t>
      </w:r>
      <w:r>
        <w:rPr>
          <w:rFonts w:ascii="TT8Et00" w:hAnsi="TT8Et00" w:cs="TT8Et00"/>
        </w:rPr>
        <w:t xml:space="preserve"> SAEMT</w:t>
      </w:r>
      <w:r w:rsidR="00AA1913">
        <w:rPr>
          <w:rFonts w:ascii="TTFCt00" w:hAnsi="TTFCt00" w:cs="TTFCt00"/>
        </w:rPr>
        <w:t xml:space="preserve"> will ensure that all necessary controls are in place in</w:t>
      </w:r>
      <w:r>
        <w:rPr>
          <w:rFonts w:ascii="TTFCt00" w:hAnsi="TTFCt00" w:cs="TTFCt00"/>
        </w:rPr>
        <w:t xml:space="preserve"> </w:t>
      </w:r>
      <w:r w:rsidR="00AA1913">
        <w:rPr>
          <w:rFonts w:ascii="TTFCt00" w:hAnsi="TTFCt00" w:cs="TTFCt00"/>
        </w:rPr>
        <w:t>terms of access to personal information.</w:t>
      </w:r>
    </w:p>
    <w:p w14:paraId="2C90A55D" w14:textId="77777777" w:rsidR="003A37FD" w:rsidRDefault="003A37FD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</w:rPr>
      </w:pPr>
    </w:p>
    <w:p w14:paraId="33015152" w14:textId="5ED44D33" w:rsidR="00AA1913" w:rsidRPr="003A37FD" w:rsidRDefault="003A37FD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  <w:b/>
          <w:u w:val="single"/>
        </w:rPr>
      </w:pPr>
      <w:r w:rsidRPr="003A37FD">
        <w:rPr>
          <w:rFonts w:ascii="TT8Et00" w:hAnsi="TT8Et00" w:cs="TT8Et00"/>
          <w:b/>
          <w:u w:val="single"/>
        </w:rPr>
        <w:t>DATA SUBJECT PARTICIPATION</w:t>
      </w:r>
    </w:p>
    <w:p w14:paraId="6C1D38B3" w14:textId="23CF6009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>Any subject access requests will be handled by the POPI Act</w:t>
      </w:r>
      <w:r w:rsidR="003A37FD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Information Officer in terms of Condition 8.</w:t>
      </w:r>
    </w:p>
    <w:p w14:paraId="65A3F044" w14:textId="77777777" w:rsidR="003A37FD" w:rsidRDefault="003A37FD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</w:p>
    <w:p w14:paraId="1F2063BF" w14:textId="45C0E2B3" w:rsidR="00AA1913" w:rsidRPr="003A37FD" w:rsidRDefault="003A37FD" w:rsidP="003A37F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T8Et00" w:hAnsi="TT8Et00" w:cs="TT8Et00"/>
        </w:rPr>
      </w:pPr>
      <w:r w:rsidRPr="003A37FD">
        <w:rPr>
          <w:rFonts w:ascii="TT8Et00" w:hAnsi="TT8Et00" w:cs="TT8Et00"/>
        </w:rPr>
        <w:t>PROCEDURE FOR MAKING REQUEST</w:t>
      </w:r>
    </w:p>
    <w:p w14:paraId="750E9CAB" w14:textId="5427ABD1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>Subject access requests must be in writing. All staff are required to</w:t>
      </w:r>
      <w:r w:rsidR="003A37FD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pass on anything which might be a subject access request to the</w:t>
      </w:r>
      <w:r w:rsidR="003A37FD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 xml:space="preserve">POPI Act Information Officer without </w:t>
      </w:r>
      <w:proofErr w:type="spellStart"/>
      <w:r>
        <w:rPr>
          <w:rFonts w:ascii="TTFCt00" w:hAnsi="TTFCt00" w:cs="TTFCt00"/>
        </w:rPr>
        <w:t>delay.Requests</w:t>
      </w:r>
      <w:proofErr w:type="spellEnd"/>
      <w:r>
        <w:rPr>
          <w:rFonts w:ascii="TTFCt00" w:hAnsi="TTFCt00" w:cs="TTFCt00"/>
        </w:rPr>
        <w:t xml:space="preserve"> for access to personal information will be handled in</w:t>
      </w:r>
      <w:r w:rsidR="003A37FD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compliance with the POPI Act and in compliance with the</w:t>
      </w:r>
      <w:r w:rsidR="003A37FD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Promotion of Access to Information Act (PAIA), as defined</w:t>
      </w:r>
      <w:r w:rsidR="003A37FD">
        <w:rPr>
          <w:rFonts w:ascii="TTFCt00" w:hAnsi="TTFCt00" w:cs="TTFCt00"/>
        </w:rPr>
        <w:t>.</w:t>
      </w:r>
    </w:p>
    <w:p w14:paraId="10F742AD" w14:textId="77777777" w:rsidR="003A37FD" w:rsidRDefault="003A37FD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</w:rPr>
      </w:pPr>
    </w:p>
    <w:p w14:paraId="60A043CA" w14:textId="763B55A5" w:rsidR="00AA1913" w:rsidRPr="003A37FD" w:rsidRDefault="003A37FD" w:rsidP="003A37F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T8Et00" w:hAnsi="TT8Et00" w:cs="TT8Et00"/>
        </w:rPr>
      </w:pPr>
      <w:r w:rsidRPr="003A37FD">
        <w:rPr>
          <w:rFonts w:ascii="TT8Et00" w:hAnsi="TT8Et00" w:cs="TT8Et00"/>
        </w:rPr>
        <w:t>PROVISION FOR VERIFYING IDENTITY</w:t>
      </w:r>
    </w:p>
    <w:p w14:paraId="3902C5FD" w14:textId="5D392D76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>Where the individual making a subject access request is not</w:t>
      </w:r>
      <w:r w:rsidR="003A37FD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personally known to the POPI Act Information Officer their identity</w:t>
      </w:r>
      <w:r w:rsidR="003A37FD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will be verified before handing over any information.</w:t>
      </w:r>
    </w:p>
    <w:p w14:paraId="7591EEBE" w14:textId="77777777" w:rsidR="003A37FD" w:rsidRDefault="003A37FD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</w:rPr>
      </w:pPr>
    </w:p>
    <w:p w14:paraId="3A7241CB" w14:textId="3BE85DF7" w:rsidR="00AA1913" w:rsidRPr="003A37FD" w:rsidRDefault="003A37FD" w:rsidP="003A37F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T8Et00" w:hAnsi="TT8Et00" w:cs="TT8Et00"/>
        </w:rPr>
      </w:pPr>
      <w:r w:rsidRPr="003A37FD">
        <w:rPr>
          <w:rFonts w:ascii="TT8Et00" w:hAnsi="TT8Et00" w:cs="TT8Et00"/>
        </w:rPr>
        <w:t>CHARGING</w:t>
      </w:r>
    </w:p>
    <w:p w14:paraId="21D4314A" w14:textId="78053C83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>Fees for access to personal information will be handled in</w:t>
      </w:r>
      <w:r w:rsidR="003A37FD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compliance with the PAIA Act.</w:t>
      </w:r>
    </w:p>
    <w:p w14:paraId="42CFE718" w14:textId="27FE1CD4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8Et00" w:hAnsi="TT8Et00" w:cs="TT8Et00"/>
        </w:rPr>
        <w:t>Procedure for granting access</w:t>
      </w:r>
      <w:r w:rsidR="003A37FD">
        <w:rPr>
          <w:rFonts w:ascii="TT8Et00" w:hAnsi="TT8Et00" w:cs="TT8Et00"/>
        </w:rPr>
        <w:t xml:space="preserve"> </w:t>
      </w:r>
      <w:r>
        <w:rPr>
          <w:rFonts w:ascii="TTFCt00" w:hAnsi="TTFCt00" w:cs="TTFCt00"/>
        </w:rPr>
        <w:t>Procedures for access to personal information will be handled in</w:t>
      </w:r>
    </w:p>
    <w:p w14:paraId="2A1767EB" w14:textId="146C66AA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proofErr w:type="gramStart"/>
      <w:r>
        <w:rPr>
          <w:rFonts w:ascii="TTFCt00" w:hAnsi="TTFCt00" w:cs="TTFCt00"/>
        </w:rPr>
        <w:t>compliance</w:t>
      </w:r>
      <w:proofErr w:type="gramEnd"/>
      <w:r>
        <w:rPr>
          <w:rFonts w:ascii="TTFCt00" w:hAnsi="TTFCt00" w:cs="TTFCt00"/>
        </w:rPr>
        <w:t xml:space="preserve"> with the PAIA Act, as defined</w:t>
      </w:r>
    </w:p>
    <w:p w14:paraId="1DAB4C78" w14:textId="77777777" w:rsidR="003A37FD" w:rsidRDefault="003A37FD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</w:p>
    <w:p w14:paraId="5EFA7B9C" w14:textId="7D087DD5" w:rsidR="00AA1913" w:rsidRPr="003A37FD" w:rsidRDefault="003A37FD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  <w:b/>
          <w:u w:val="single"/>
        </w:rPr>
      </w:pPr>
      <w:r w:rsidRPr="003A37FD">
        <w:rPr>
          <w:rFonts w:ascii="TT8Et00" w:hAnsi="TT8Et00" w:cs="TT8Et00"/>
          <w:b/>
          <w:u w:val="single"/>
        </w:rPr>
        <w:t>PROCESSING OF SPECIAL PERSONAL INFORMATION</w:t>
      </w:r>
    </w:p>
    <w:p w14:paraId="303B5709" w14:textId="57F64D8D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>The scope of this aspect of the policy is defined by the provisions of</w:t>
      </w:r>
      <w:r w:rsidR="003A37FD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the POPI Act, Part B, sections 26 to 33.</w:t>
      </w:r>
    </w:p>
    <w:p w14:paraId="1F09F809" w14:textId="77777777" w:rsidR="003A37FD" w:rsidRDefault="003A37FD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</w:p>
    <w:p w14:paraId="1DFA83BF" w14:textId="51B4A5FE" w:rsidR="00AA1913" w:rsidRDefault="003A37FD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</w:rPr>
      </w:pPr>
      <w:r>
        <w:rPr>
          <w:rFonts w:ascii="TT8Et00" w:hAnsi="TT8Et00" w:cs="TT8Et00"/>
        </w:rPr>
        <w:t>PROCESSING OF SPECIAL PERSONAL INFORMATION</w:t>
      </w:r>
    </w:p>
    <w:p w14:paraId="1A50EFA5" w14:textId="77777777" w:rsidR="003A37FD" w:rsidRDefault="003A37FD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</w:rPr>
      </w:pPr>
    </w:p>
    <w:p w14:paraId="783F4400" w14:textId="1E06B3DE" w:rsidR="00AA1913" w:rsidRDefault="003A37FD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>SAEMT</w:t>
      </w:r>
      <w:r w:rsidR="00AA1913">
        <w:rPr>
          <w:rFonts w:ascii="TTFCt00" w:hAnsi="TTFCt00" w:cs="TTFCt00"/>
        </w:rPr>
        <w:t xml:space="preserve"> has the policy of adhering to the process of Special</w:t>
      </w:r>
      <w:r>
        <w:rPr>
          <w:rFonts w:ascii="TTFCt00" w:hAnsi="TTFCt00" w:cs="TTFCt00"/>
        </w:rPr>
        <w:t xml:space="preserve"> </w:t>
      </w:r>
      <w:r w:rsidR="00AA1913">
        <w:rPr>
          <w:rFonts w:ascii="TTFCt00" w:hAnsi="TTFCt00" w:cs="TTFCt00"/>
        </w:rPr>
        <w:t>Personal Information which relates to the religious or philosophical</w:t>
      </w:r>
      <w:r>
        <w:rPr>
          <w:rFonts w:ascii="TTFCt00" w:hAnsi="TTFCt00" w:cs="TTFCt00"/>
        </w:rPr>
        <w:t xml:space="preserve"> </w:t>
      </w:r>
      <w:r w:rsidR="00AA1913">
        <w:rPr>
          <w:rFonts w:ascii="TTFCt00" w:hAnsi="TTFCt00" w:cs="TTFCt00"/>
        </w:rPr>
        <w:t>beliefs, race or ethnic origin, trade union membership, political</w:t>
      </w:r>
    </w:p>
    <w:p w14:paraId="216D06AE" w14:textId="068A248F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proofErr w:type="gramStart"/>
      <w:r>
        <w:rPr>
          <w:rFonts w:ascii="TTFCt00" w:hAnsi="TTFCt00" w:cs="TTFCt00"/>
        </w:rPr>
        <w:t>persuasion</w:t>
      </w:r>
      <w:proofErr w:type="gramEnd"/>
      <w:r>
        <w:rPr>
          <w:rFonts w:ascii="TTFCt00" w:hAnsi="TTFCt00" w:cs="TTFCt00"/>
        </w:rPr>
        <w:t>, health or sex life or biometric information of a data</w:t>
      </w:r>
      <w:r w:rsidR="003A37FD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subject.</w:t>
      </w:r>
      <w:r w:rsidR="003A37FD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 xml:space="preserve">Unless a general </w:t>
      </w:r>
      <w:proofErr w:type="spellStart"/>
      <w:r>
        <w:rPr>
          <w:rFonts w:ascii="TTFCt00" w:hAnsi="TTFCt00" w:cs="TTFCt00"/>
        </w:rPr>
        <w:t>authorisation</w:t>
      </w:r>
      <w:proofErr w:type="spellEnd"/>
      <w:r>
        <w:rPr>
          <w:rFonts w:ascii="TTFCt00" w:hAnsi="TTFCt00" w:cs="TTFCt00"/>
        </w:rPr>
        <w:t xml:space="preserve">, alternatively a specific </w:t>
      </w:r>
      <w:r w:rsidR="003A37FD">
        <w:rPr>
          <w:rFonts w:ascii="TTFCt00" w:hAnsi="TTFCt00" w:cs="TTFCt00"/>
        </w:rPr>
        <w:t xml:space="preserve">authorization </w:t>
      </w:r>
      <w:r>
        <w:rPr>
          <w:rFonts w:ascii="TTFCt00" w:hAnsi="TTFCt00" w:cs="TTFCt00"/>
        </w:rPr>
        <w:t>relating to the different types of special personal information</w:t>
      </w:r>
      <w:r w:rsidR="003A37FD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applies, a responsible party is prohibited from processing special</w:t>
      </w:r>
    </w:p>
    <w:p w14:paraId="6EA605D8" w14:textId="77777777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proofErr w:type="gramStart"/>
      <w:r>
        <w:rPr>
          <w:rFonts w:ascii="TTFCt00" w:hAnsi="TTFCt00" w:cs="TTFCt00"/>
        </w:rPr>
        <w:t>personal</w:t>
      </w:r>
      <w:proofErr w:type="gramEnd"/>
      <w:r>
        <w:rPr>
          <w:rFonts w:ascii="TTFCt00" w:hAnsi="TTFCt00" w:cs="TTFCt00"/>
        </w:rPr>
        <w:t xml:space="preserve"> information.</w:t>
      </w:r>
    </w:p>
    <w:p w14:paraId="7CA93D10" w14:textId="77777777" w:rsidR="003A37FD" w:rsidRDefault="003A37FD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</w:p>
    <w:p w14:paraId="03989B15" w14:textId="77777777" w:rsidR="003A37FD" w:rsidRDefault="003A37FD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</w:p>
    <w:p w14:paraId="723B17FE" w14:textId="6C776369" w:rsidR="00AA1913" w:rsidRPr="003A37FD" w:rsidRDefault="003A37FD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  <w:b/>
          <w:u w:val="single"/>
        </w:rPr>
      </w:pPr>
      <w:r w:rsidRPr="003A37FD">
        <w:rPr>
          <w:rFonts w:ascii="TT8Et00" w:hAnsi="TT8Et00" w:cs="TT8Et00"/>
          <w:b/>
          <w:u w:val="single"/>
        </w:rPr>
        <w:lastRenderedPageBreak/>
        <w:t>PROCESSING OF PERSONAL INFORMATION OF CHILDREN</w:t>
      </w:r>
    </w:p>
    <w:p w14:paraId="53C3F860" w14:textId="5F131F72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>The scope of this aspect of the policy is defined by the provisions of</w:t>
      </w:r>
      <w:r w:rsidR="003A37FD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the POPI Act, Part C, sections 34 and 35.</w:t>
      </w:r>
    </w:p>
    <w:p w14:paraId="7BAA3F83" w14:textId="77777777" w:rsidR="003A37FD" w:rsidRDefault="003A37FD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</w:p>
    <w:p w14:paraId="0023D097" w14:textId="1008532D" w:rsidR="00AA1913" w:rsidRDefault="003A37FD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 xml:space="preserve">SAEMT </w:t>
      </w:r>
      <w:r w:rsidR="00AA1913">
        <w:rPr>
          <w:rFonts w:ascii="TTFCt00" w:hAnsi="TTFCt00" w:cs="TTFCt00"/>
        </w:rPr>
        <w:t>has the policy of adhering to the process of Special</w:t>
      </w:r>
      <w:r>
        <w:rPr>
          <w:rFonts w:ascii="TTFCt00" w:hAnsi="TTFCt00" w:cs="TTFCt00"/>
        </w:rPr>
        <w:t xml:space="preserve"> </w:t>
      </w:r>
      <w:r w:rsidR="00AA1913">
        <w:rPr>
          <w:rFonts w:ascii="TTFCt00" w:hAnsi="TTFCt00" w:cs="TTFCt00"/>
        </w:rPr>
        <w:t>Personal Information of children. This applies to under-18</w:t>
      </w:r>
      <w:r>
        <w:rPr>
          <w:rFonts w:ascii="TTFCt00" w:hAnsi="TTFCt00" w:cs="TTFCt00"/>
        </w:rPr>
        <w:t xml:space="preserve"> </w:t>
      </w:r>
      <w:r w:rsidR="00AA1913">
        <w:rPr>
          <w:rFonts w:ascii="TTFCt00" w:hAnsi="TTFCt00" w:cs="TTFCt00"/>
        </w:rPr>
        <w:t>individuals, so an age check is required for all personal information</w:t>
      </w:r>
    </w:p>
    <w:p w14:paraId="09BC3D09" w14:textId="76E0FAD6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proofErr w:type="gramStart"/>
      <w:r>
        <w:rPr>
          <w:rFonts w:ascii="TTFCt00" w:hAnsi="TTFCt00" w:cs="TTFCt00"/>
        </w:rPr>
        <w:t>records</w:t>
      </w:r>
      <w:proofErr w:type="gramEnd"/>
      <w:r>
        <w:rPr>
          <w:rFonts w:ascii="TTFCt00" w:hAnsi="TTFCt00" w:cs="TTFCt00"/>
        </w:rPr>
        <w:t>.</w:t>
      </w:r>
      <w:r w:rsidR="003A37FD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 xml:space="preserve">General </w:t>
      </w:r>
      <w:proofErr w:type="spellStart"/>
      <w:r>
        <w:rPr>
          <w:rFonts w:ascii="TTFCt00" w:hAnsi="TTFCt00" w:cs="TTFCt00"/>
        </w:rPr>
        <w:t>authorisation</w:t>
      </w:r>
      <w:proofErr w:type="spellEnd"/>
      <w:r>
        <w:rPr>
          <w:rFonts w:ascii="TTFCt00" w:hAnsi="TTFCt00" w:cs="TTFCt00"/>
        </w:rPr>
        <w:t xml:space="preserve"> concerning personal information of children</w:t>
      </w:r>
      <w:r w:rsidR="003A37FD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only applies where under-18 are involved.</w:t>
      </w:r>
      <w:r w:rsidR="003A37FD">
        <w:rPr>
          <w:rFonts w:ascii="TTFCt00" w:hAnsi="TTFCt00" w:cs="TTFCt00"/>
        </w:rPr>
        <w:t xml:space="preserve"> SAEMT</w:t>
      </w:r>
      <w:r>
        <w:rPr>
          <w:rFonts w:ascii="TTFCt00" w:hAnsi="TTFCt00" w:cs="TTFCt00"/>
        </w:rPr>
        <w:t xml:space="preserve"> has used the POPI-Personal Information Diagnostic</w:t>
      </w:r>
      <w:r w:rsidR="003A37FD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tool to identify any records held which contain Personal</w:t>
      </w:r>
      <w:r w:rsidR="003A37FD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Information of children.</w:t>
      </w:r>
    </w:p>
    <w:p w14:paraId="3003C9DF" w14:textId="77777777" w:rsidR="003A37FD" w:rsidRDefault="003A37FD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</w:p>
    <w:p w14:paraId="11D95974" w14:textId="0C1F5110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>Whenever data is first collected which might be used for any</w:t>
      </w:r>
      <w:r w:rsidR="003A37FD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marketing purpose, this purpose will be made clear, and the Data</w:t>
      </w:r>
      <w:r w:rsidR="003A37FD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Subject will be given a clear opportunity to opt in.</w:t>
      </w:r>
    </w:p>
    <w:p w14:paraId="1BBC4516" w14:textId="77777777" w:rsidR="003A37FD" w:rsidRDefault="003A37FD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</w:rPr>
      </w:pPr>
    </w:p>
    <w:p w14:paraId="5A496A51" w14:textId="14E6EB17" w:rsidR="00AA1913" w:rsidRPr="003A37FD" w:rsidRDefault="003A37FD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</w:rPr>
      </w:pPr>
      <w:r w:rsidRPr="003A37FD">
        <w:rPr>
          <w:rFonts w:ascii="TT8Et00" w:hAnsi="TT8Et00" w:cs="TT8Et00"/>
        </w:rPr>
        <w:t>SHARING LISTS</w:t>
      </w:r>
    </w:p>
    <w:p w14:paraId="5A9DFAAC" w14:textId="51D5B5CE" w:rsidR="00AA1913" w:rsidRDefault="003A37FD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>SAEMT</w:t>
      </w:r>
      <w:r w:rsidR="00AA1913">
        <w:rPr>
          <w:rFonts w:ascii="TTFCt00" w:hAnsi="TTFCt00" w:cs="TTFCt00"/>
        </w:rPr>
        <w:t xml:space="preserve"> has the policy of sharing lists (or carrying out joint or</w:t>
      </w:r>
      <w:r>
        <w:rPr>
          <w:rFonts w:ascii="TTFCt00" w:hAnsi="TTFCt00" w:cs="TTFCt00"/>
        </w:rPr>
        <w:t xml:space="preserve"> </w:t>
      </w:r>
      <w:r w:rsidR="00AA1913">
        <w:rPr>
          <w:rFonts w:ascii="TTFCt00" w:hAnsi="TTFCt00" w:cs="TTFCt00"/>
        </w:rPr>
        <w:t>reciprocal mailings) only on an occasional and tightly-controlled</w:t>
      </w:r>
      <w:r>
        <w:rPr>
          <w:rFonts w:ascii="TTFCt00" w:hAnsi="TTFCt00" w:cs="TTFCt00"/>
        </w:rPr>
        <w:t xml:space="preserve"> </w:t>
      </w:r>
      <w:r w:rsidR="00AA1913">
        <w:rPr>
          <w:rFonts w:ascii="TTFCt00" w:hAnsi="TTFCt00" w:cs="TTFCt00"/>
        </w:rPr>
        <w:t>basis. Details will only be used for any of these purposes where the</w:t>
      </w:r>
      <w:r>
        <w:rPr>
          <w:rFonts w:ascii="TTFCt00" w:hAnsi="TTFCt00" w:cs="TTFCt00"/>
        </w:rPr>
        <w:t xml:space="preserve"> </w:t>
      </w:r>
      <w:r w:rsidR="00AA1913">
        <w:rPr>
          <w:rFonts w:ascii="TTFCt00" w:hAnsi="TTFCt00" w:cs="TTFCt00"/>
        </w:rPr>
        <w:t>Data Subject has been informed of this possibility, along with option to opt out, and has not exercised this option.</w:t>
      </w:r>
    </w:p>
    <w:p w14:paraId="0EAC7316" w14:textId="77777777" w:rsidR="00B13A81" w:rsidRDefault="00B13A81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</w:p>
    <w:p w14:paraId="37F69B9E" w14:textId="05BF1A5E" w:rsidR="00AA1913" w:rsidRDefault="00B13A81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 xml:space="preserve">SAEMT </w:t>
      </w:r>
      <w:r w:rsidR="00AA1913">
        <w:rPr>
          <w:rFonts w:ascii="TTFCt00" w:hAnsi="TTFCt00" w:cs="TTFCt00"/>
        </w:rPr>
        <w:t>undertakes to obtain external lists only where it can</w:t>
      </w:r>
      <w:r>
        <w:rPr>
          <w:rFonts w:ascii="TTFCt00" w:hAnsi="TTFCt00" w:cs="TTFCt00"/>
        </w:rPr>
        <w:t xml:space="preserve"> </w:t>
      </w:r>
      <w:r w:rsidR="00AA1913">
        <w:rPr>
          <w:rFonts w:ascii="TTFCt00" w:hAnsi="TTFCt00" w:cs="TTFCt00"/>
        </w:rPr>
        <w:t>be guaranteed that the list is up to date and those on the list have</w:t>
      </w:r>
      <w:r>
        <w:rPr>
          <w:rFonts w:ascii="TTFCt00" w:hAnsi="TTFCt00" w:cs="TTFCt00"/>
        </w:rPr>
        <w:t xml:space="preserve"> </w:t>
      </w:r>
      <w:r w:rsidR="00AA1913">
        <w:rPr>
          <w:rFonts w:ascii="TTFCt00" w:hAnsi="TTFCt00" w:cs="TTFCt00"/>
        </w:rPr>
        <w:t>been given an opportunity to opt out.</w:t>
      </w:r>
    </w:p>
    <w:p w14:paraId="0F634405" w14:textId="77777777" w:rsidR="00B13A81" w:rsidRDefault="00B13A81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</w:p>
    <w:p w14:paraId="0ABCD0EC" w14:textId="0AAB0D68" w:rsidR="00AA1913" w:rsidRPr="00B13A81" w:rsidRDefault="00B13A81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  <w:b/>
          <w:u w:val="single"/>
        </w:rPr>
      </w:pPr>
      <w:r w:rsidRPr="00B13A81">
        <w:rPr>
          <w:rFonts w:ascii="TT8Et00" w:hAnsi="TT8Et00" w:cs="TT8Et00"/>
          <w:b/>
          <w:u w:val="single"/>
        </w:rPr>
        <w:t>ELECTRONIC CONTACT</w:t>
      </w:r>
    </w:p>
    <w:p w14:paraId="1959D466" w14:textId="47D4E236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>Whenever e-mail addresses are collected, any future use for</w:t>
      </w:r>
      <w:r w:rsidR="00B13A81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marketing will be identified, and the provision of the address made</w:t>
      </w:r>
      <w:r w:rsidR="00B13A81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optional.</w:t>
      </w:r>
    </w:p>
    <w:p w14:paraId="4CF6FBF2" w14:textId="77777777" w:rsidR="00B13A81" w:rsidRDefault="00B13A81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</w:p>
    <w:p w14:paraId="324FD5AB" w14:textId="519D4D5E" w:rsidR="00AA1913" w:rsidRPr="00B13A81" w:rsidRDefault="00B13A81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  <w:b/>
          <w:u w:val="single"/>
        </w:rPr>
      </w:pPr>
      <w:r w:rsidRPr="00B13A81">
        <w:rPr>
          <w:rFonts w:ascii="TT8Et00" w:hAnsi="TT8Et00" w:cs="TT8Et00"/>
          <w:b/>
          <w:u w:val="single"/>
        </w:rPr>
        <w:t>DOCUMENTATION</w:t>
      </w:r>
    </w:p>
    <w:p w14:paraId="0AB7998B" w14:textId="20B296D6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>Information for staff is contained in this policy document and other</w:t>
      </w:r>
      <w:r w:rsidR="00B13A81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materials made available by the Information Officer.</w:t>
      </w:r>
    </w:p>
    <w:p w14:paraId="7E5162AF" w14:textId="77777777" w:rsidR="00B13A81" w:rsidRDefault="00B13A81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</w:p>
    <w:p w14:paraId="408A13AE" w14:textId="2C9065EC" w:rsidR="00AA1913" w:rsidRDefault="00B13A81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</w:rPr>
      </w:pPr>
      <w:r>
        <w:rPr>
          <w:rFonts w:ascii="TT8Et00" w:hAnsi="TT8Et00" w:cs="TT8Et00"/>
        </w:rPr>
        <w:t>INDUCTION</w:t>
      </w:r>
    </w:p>
    <w:p w14:paraId="73C67B51" w14:textId="0EBE4DBD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 xml:space="preserve">The </w:t>
      </w:r>
      <w:r w:rsidR="00B13A81">
        <w:rPr>
          <w:rFonts w:ascii="TTFCt00" w:hAnsi="TTFCt00" w:cs="TTFCt00"/>
        </w:rPr>
        <w:t>SAEMT</w:t>
      </w:r>
      <w:r>
        <w:rPr>
          <w:rFonts w:ascii="TTFCt00" w:hAnsi="TTFCt00" w:cs="TTFCt00"/>
        </w:rPr>
        <w:t xml:space="preserve"> Information Officer will ensure that all staff </w:t>
      </w:r>
      <w:proofErr w:type="gramStart"/>
      <w:r>
        <w:rPr>
          <w:rFonts w:ascii="TTFCt00" w:hAnsi="TTFCt00" w:cs="TTFCt00"/>
        </w:rPr>
        <w:t>who</w:t>
      </w:r>
      <w:proofErr w:type="gramEnd"/>
      <w:r w:rsidR="00B13A81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have access to any kind of personal information will have their</w:t>
      </w:r>
      <w:r w:rsidR="00B13A81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responsibilities outlined during their induction procedures.</w:t>
      </w:r>
    </w:p>
    <w:p w14:paraId="35B8F5B1" w14:textId="77777777" w:rsidR="00B13A81" w:rsidRDefault="00B13A81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</w:rPr>
      </w:pPr>
    </w:p>
    <w:p w14:paraId="2075D33B" w14:textId="55025F7C" w:rsidR="00AA1913" w:rsidRDefault="00B13A81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</w:rPr>
      </w:pPr>
      <w:r>
        <w:rPr>
          <w:rFonts w:ascii="TT8Et00" w:hAnsi="TT8Et00" w:cs="TT8Et00"/>
        </w:rPr>
        <w:t>CONTINUING TRAINING</w:t>
      </w:r>
    </w:p>
    <w:p w14:paraId="15E85F19" w14:textId="387E27B4" w:rsidR="00AA1913" w:rsidRDefault="00B13A81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>SAEMT</w:t>
      </w:r>
      <w:r w:rsidR="00AA1913">
        <w:rPr>
          <w:rFonts w:ascii="TTFCt00" w:hAnsi="TTFCt00" w:cs="TTFCt00"/>
        </w:rPr>
        <w:t xml:space="preserve"> will provide opportunities for staff to explore POPI</w:t>
      </w:r>
      <w:r>
        <w:rPr>
          <w:rFonts w:ascii="TTFCt00" w:hAnsi="TTFCt00" w:cs="TTFCt00"/>
        </w:rPr>
        <w:t xml:space="preserve"> </w:t>
      </w:r>
      <w:r w:rsidR="00AA1913">
        <w:rPr>
          <w:rFonts w:ascii="TTFCt00" w:hAnsi="TTFCt00" w:cs="TTFCt00"/>
        </w:rPr>
        <w:t>Act issues through training, team meetings, and supervisions.</w:t>
      </w:r>
      <w:r>
        <w:rPr>
          <w:rFonts w:ascii="TTFCt00" w:hAnsi="TTFCt00" w:cs="TTFCt00"/>
        </w:rPr>
        <w:t xml:space="preserve"> </w:t>
      </w:r>
      <w:r w:rsidR="00AA1913">
        <w:rPr>
          <w:rFonts w:ascii="TT8Et00" w:hAnsi="TT8Et00" w:cs="TT8Et00"/>
        </w:rPr>
        <w:t>Procedure for staff signifying</w:t>
      </w:r>
      <w:r>
        <w:rPr>
          <w:rFonts w:ascii="TT8Et00" w:hAnsi="TT8Et00" w:cs="TT8Et00"/>
        </w:rPr>
        <w:t xml:space="preserve"> </w:t>
      </w:r>
      <w:r w:rsidR="00AA1913">
        <w:rPr>
          <w:rFonts w:ascii="TT8Et00" w:hAnsi="TT8Et00" w:cs="TT8Et00"/>
        </w:rPr>
        <w:t>acceptance of policy</w:t>
      </w:r>
      <w:r>
        <w:rPr>
          <w:rFonts w:ascii="TT8Et00" w:hAnsi="TT8Et00" w:cs="TT8Et00"/>
        </w:rPr>
        <w:t xml:space="preserve"> </w:t>
      </w:r>
      <w:r>
        <w:rPr>
          <w:rFonts w:ascii="TTFCt00" w:hAnsi="TTFCt00" w:cs="TTFCt00"/>
        </w:rPr>
        <w:t>SAEMT</w:t>
      </w:r>
      <w:r w:rsidR="00AA1913">
        <w:rPr>
          <w:rFonts w:ascii="TTFCt00" w:hAnsi="TTFCt00" w:cs="TTFCt00"/>
        </w:rPr>
        <w:t xml:space="preserve"> will ensure that all staff sign acceptance of this policy</w:t>
      </w:r>
      <w:r>
        <w:rPr>
          <w:rFonts w:ascii="TTFCt00" w:hAnsi="TTFCt00" w:cs="TTFCt00"/>
        </w:rPr>
        <w:t xml:space="preserve"> </w:t>
      </w:r>
      <w:r w:rsidR="00AA1913">
        <w:rPr>
          <w:rFonts w:ascii="TTFCt00" w:hAnsi="TTFCt00" w:cs="TTFCt00"/>
        </w:rPr>
        <w:t>once they have had a chance to understand the policy and their</w:t>
      </w:r>
      <w:r>
        <w:rPr>
          <w:rFonts w:ascii="TTFCt00" w:hAnsi="TTFCt00" w:cs="TTFCt00"/>
        </w:rPr>
        <w:t xml:space="preserve"> </w:t>
      </w:r>
      <w:r w:rsidR="00AA1913">
        <w:rPr>
          <w:rFonts w:ascii="TTFCt00" w:hAnsi="TTFCt00" w:cs="TTFCt00"/>
        </w:rPr>
        <w:t>responsibilities in terms of the policy and the POPI Act.</w:t>
      </w:r>
    </w:p>
    <w:p w14:paraId="5AC5FF0D" w14:textId="77777777" w:rsidR="00B13A81" w:rsidRDefault="00B13A81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</w:p>
    <w:p w14:paraId="0E94EDC5" w14:textId="5A0644FE" w:rsidR="00AA1913" w:rsidRPr="00B13A81" w:rsidRDefault="00B13A81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  <w:b/>
          <w:u w:val="single"/>
        </w:rPr>
      </w:pPr>
      <w:r w:rsidRPr="00B13A81">
        <w:rPr>
          <w:rFonts w:ascii="TT8Et00" w:hAnsi="TT8Et00" w:cs="TT8Et00"/>
          <w:b/>
          <w:u w:val="single"/>
        </w:rPr>
        <w:t>POLICY REVIEW</w:t>
      </w:r>
    </w:p>
    <w:p w14:paraId="40CA2A4F" w14:textId="4A440DB5" w:rsidR="00AA1913" w:rsidRDefault="00AA1913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  <w:r>
        <w:rPr>
          <w:rFonts w:ascii="TTFCt00" w:hAnsi="TTFCt00" w:cs="TTFCt00"/>
        </w:rPr>
        <w:t xml:space="preserve">The </w:t>
      </w:r>
      <w:r w:rsidR="00B13A81">
        <w:rPr>
          <w:rFonts w:ascii="TTFCt00" w:hAnsi="TTFCt00" w:cs="TTFCt00"/>
        </w:rPr>
        <w:t>SAEMT</w:t>
      </w:r>
      <w:r>
        <w:rPr>
          <w:rFonts w:ascii="TTFCt00" w:hAnsi="TTFCt00" w:cs="TTFCt00"/>
        </w:rPr>
        <w:t xml:space="preserve"> Information Officer is responsible for an annual</w:t>
      </w:r>
      <w:r w:rsidR="00B13A81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review to be completed prior to the policy anniversary date.</w:t>
      </w:r>
    </w:p>
    <w:p w14:paraId="2FCEAB67" w14:textId="77777777" w:rsidR="00B13A81" w:rsidRDefault="00B13A81" w:rsidP="00AA19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</w:rPr>
      </w:pPr>
    </w:p>
    <w:p w14:paraId="26C5EA00" w14:textId="41BB296D" w:rsidR="00AA1913" w:rsidRPr="00B13A81" w:rsidRDefault="00B13A81" w:rsidP="00AA1913">
      <w:pPr>
        <w:autoSpaceDE w:val="0"/>
        <w:autoSpaceDN w:val="0"/>
        <w:adjustRightInd w:val="0"/>
        <w:spacing w:after="0" w:line="240" w:lineRule="auto"/>
        <w:rPr>
          <w:rFonts w:ascii="TT8Et00" w:hAnsi="TT8Et00" w:cs="TT8Et00"/>
          <w:b/>
          <w:u w:val="single"/>
        </w:rPr>
      </w:pPr>
      <w:r w:rsidRPr="00B13A81">
        <w:rPr>
          <w:rFonts w:ascii="TT8Et00" w:hAnsi="TT8Et00" w:cs="TT8Et00"/>
          <w:b/>
          <w:u w:val="single"/>
        </w:rPr>
        <w:t>PROCEDURE</w:t>
      </w:r>
    </w:p>
    <w:p w14:paraId="54AD44D6" w14:textId="094DEA44" w:rsidR="000845BA" w:rsidRDefault="00AA1913" w:rsidP="00B13A8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32"/>
          <w:szCs w:val="32"/>
          <w:lang w:val="en-GB" w:eastAsia="ar-SA"/>
        </w:rPr>
      </w:pPr>
      <w:r>
        <w:rPr>
          <w:rFonts w:ascii="TTFCt00" w:hAnsi="TTFCt00" w:cs="TTFCt00"/>
        </w:rPr>
        <w:t xml:space="preserve">The </w:t>
      </w:r>
      <w:r w:rsidR="00B13A81">
        <w:rPr>
          <w:rFonts w:ascii="TTFCt00" w:hAnsi="TTFCt00" w:cs="TTFCt00"/>
        </w:rPr>
        <w:t>SAEMT</w:t>
      </w:r>
      <w:r>
        <w:rPr>
          <w:rFonts w:ascii="TTFCt00" w:hAnsi="TTFCt00" w:cs="TTFCt00"/>
        </w:rPr>
        <w:t xml:space="preserve"> Information Officer will ensure relevant</w:t>
      </w:r>
      <w:r w:rsidR="00B13A81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stakeholders are consulted as part of the annual review to be</w:t>
      </w:r>
      <w:r w:rsidR="00B13A81">
        <w:rPr>
          <w:rFonts w:ascii="TTFCt00" w:hAnsi="TTFCt00" w:cs="TTFCt00"/>
        </w:rPr>
        <w:t xml:space="preserve"> </w:t>
      </w:r>
      <w:r>
        <w:rPr>
          <w:rFonts w:ascii="TTFCt00" w:hAnsi="TTFCt00" w:cs="TTFCt00"/>
        </w:rPr>
        <w:t>completed prior to the policy anniversary date.</w:t>
      </w:r>
    </w:p>
    <w:p w14:paraId="1636BB9B" w14:textId="77777777" w:rsidR="000845BA" w:rsidRDefault="000845BA" w:rsidP="006F7FFE">
      <w:pPr>
        <w:jc w:val="center"/>
        <w:rPr>
          <w:rFonts w:eastAsia="Times New Roman" w:cs="Times New Roman"/>
          <w:b/>
          <w:sz w:val="32"/>
          <w:szCs w:val="32"/>
          <w:lang w:val="en-GB" w:eastAsia="ar-SA"/>
        </w:rPr>
      </w:pPr>
    </w:p>
    <w:p w14:paraId="4CC7F86F" w14:textId="77777777" w:rsidR="000845BA" w:rsidRDefault="000845BA" w:rsidP="006F7FFE">
      <w:pPr>
        <w:jc w:val="center"/>
        <w:rPr>
          <w:rFonts w:eastAsia="Times New Roman" w:cs="Times New Roman"/>
          <w:b/>
          <w:sz w:val="32"/>
          <w:szCs w:val="32"/>
          <w:lang w:val="en-GB" w:eastAsia="ar-SA"/>
        </w:rPr>
      </w:pPr>
    </w:p>
    <w:p w14:paraId="36BA909B" w14:textId="77777777" w:rsidR="003563DE" w:rsidRDefault="003563DE" w:rsidP="006F7FFE">
      <w:pPr>
        <w:jc w:val="center"/>
        <w:rPr>
          <w:rFonts w:eastAsia="Times New Roman" w:cs="Times New Roman"/>
          <w:b/>
          <w:sz w:val="32"/>
          <w:szCs w:val="32"/>
          <w:lang w:val="en-GB" w:eastAsia="ar-SA"/>
        </w:rPr>
      </w:pPr>
      <w:bookmarkStart w:id="0" w:name="_GoBack"/>
      <w:bookmarkEnd w:id="0"/>
      <w:r>
        <w:rPr>
          <w:rFonts w:eastAsia="Times New Roman" w:cs="Times New Roman"/>
          <w:b/>
          <w:sz w:val="32"/>
          <w:szCs w:val="32"/>
          <w:lang w:val="en-GB" w:eastAsia="ar-SA"/>
        </w:rPr>
        <w:lastRenderedPageBreak/>
        <w:t>PROTECTION OF PERSONAL INFORMATION ACT 4, 2013</w:t>
      </w:r>
    </w:p>
    <w:p w14:paraId="0CAED7B9" w14:textId="25E79A17" w:rsidR="00275C53" w:rsidRPr="006F7FFE" w:rsidRDefault="00275C53" w:rsidP="006F7FFE">
      <w:pPr>
        <w:jc w:val="center"/>
        <w:rPr>
          <w:rFonts w:eastAsia="Times New Roman" w:cs="Times New Roman"/>
          <w:b/>
          <w:sz w:val="32"/>
          <w:szCs w:val="32"/>
          <w:lang w:val="en-GB" w:eastAsia="ar-SA"/>
        </w:rPr>
      </w:pPr>
      <w:r w:rsidRPr="006F7FFE">
        <w:rPr>
          <w:rFonts w:eastAsia="Times New Roman" w:cs="Times New Roman"/>
          <w:b/>
          <w:sz w:val="32"/>
          <w:szCs w:val="32"/>
          <w:lang w:val="en-GB" w:eastAsia="ar-SA"/>
        </w:rPr>
        <w:t xml:space="preserve"> (</w:t>
      </w:r>
      <w:r w:rsidR="003563DE">
        <w:rPr>
          <w:rFonts w:eastAsia="Times New Roman" w:cs="Times New Roman"/>
          <w:b/>
          <w:sz w:val="32"/>
          <w:szCs w:val="32"/>
          <w:lang w:val="en-GB" w:eastAsia="ar-SA"/>
        </w:rPr>
        <w:t>Herein as POPI Act, as of 1</w:t>
      </w:r>
      <w:r w:rsidR="003563DE" w:rsidRPr="003563DE">
        <w:rPr>
          <w:rFonts w:eastAsia="Times New Roman" w:cs="Times New Roman"/>
          <w:b/>
          <w:sz w:val="32"/>
          <w:szCs w:val="32"/>
          <w:vertAlign w:val="superscript"/>
          <w:lang w:val="en-GB" w:eastAsia="ar-SA"/>
        </w:rPr>
        <w:t>st</w:t>
      </w:r>
      <w:r w:rsidR="003563DE">
        <w:rPr>
          <w:rFonts w:eastAsia="Times New Roman" w:cs="Times New Roman"/>
          <w:b/>
          <w:sz w:val="32"/>
          <w:szCs w:val="32"/>
          <w:lang w:val="en-GB" w:eastAsia="ar-SA"/>
        </w:rPr>
        <w:t xml:space="preserve"> July 2021) </w:t>
      </w:r>
    </w:p>
    <w:p w14:paraId="2A967939" w14:textId="14E46ACA" w:rsidR="00275C53" w:rsidRPr="003563DE" w:rsidRDefault="001A7981" w:rsidP="002A2068">
      <w:pPr>
        <w:ind w:left="-567"/>
        <w:jc w:val="center"/>
        <w:rPr>
          <w:rFonts w:eastAsia="Times New Roman" w:cs="Times New Roman"/>
          <w:b/>
          <w:i/>
          <w:color w:val="FF0000"/>
          <w:lang w:val="en-GB" w:eastAsia="ar-SA"/>
        </w:rPr>
      </w:pPr>
      <w:r>
        <w:rPr>
          <w:rFonts w:eastAsia="Times New Roman" w:cs="Times New Roman"/>
          <w:b/>
          <w:i/>
          <w:color w:val="FF0000"/>
          <w:lang w:val="en-GB" w:eastAsia="ar-SA"/>
        </w:rPr>
        <w:t xml:space="preserve">Personal information to be used for </w:t>
      </w:r>
      <w:proofErr w:type="spellStart"/>
      <w:r>
        <w:rPr>
          <w:rFonts w:eastAsia="Times New Roman" w:cs="Times New Roman"/>
          <w:b/>
          <w:i/>
          <w:color w:val="FF0000"/>
          <w:lang w:val="en-GB" w:eastAsia="ar-SA"/>
        </w:rPr>
        <w:t>MerSeta</w:t>
      </w:r>
      <w:proofErr w:type="spellEnd"/>
      <w:r>
        <w:rPr>
          <w:rFonts w:eastAsia="Times New Roman" w:cs="Times New Roman"/>
          <w:b/>
          <w:i/>
          <w:color w:val="FF0000"/>
          <w:lang w:val="en-GB" w:eastAsia="ar-SA"/>
        </w:rPr>
        <w:t xml:space="preserve"> only purposes</w:t>
      </w:r>
      <w:r w:rsidR="002A2068">
        <w:rPr>
          <w:rFonts w:eastAsia="Times New Roman" w:cs="Times New Roman"/>
          <w:b/>
          <w:i/>
          <w:color w:val="FF0000"/>
          <w:lang w:val="en-GB" w:eastAsia="ar-SA"/>
        </w:rPr>
        <w:t xml:space="preserve"> – full Policy and Procedure available on request</w:t>
      </w:r>
    </w:p>
    <w:tbl>
      <w:tblPr>
        <w:tblStyle w:val="TableGrid"/>
        <w:tblW w:w="10996" w:type="dxa"/>
        <w:tblInd w:w="-540" w:type="dxa"/>
        <w:tblLook w:val="04A0" w:firstRow="1" w:lastRow="0" w:firstColumn="1" w:lastColumn="0" w:noHBand="0" w:noVBand="1"/>
      </w:tblPr>
      <w:tblGrid>
        <w:gridCol w:w="4050"/>
        <w:gridCol w:w="6946"/>
      </w:tblGrid>
      <w:tr w:rsidR="00275C53" w14:paraId="51D322E2" w14:textId="77777777" w:rsidTr="003563DE">
        <w:tc>
          <w:tcPr>
            <w:tcW w:w="4050" w:type="dxa"/>
          </w:tcPr>
          <w:p w14:paraId="69B54F34" w14:textId="77777777" w:rsidR="00275C53" w:rsidRPr="002C0178" w:rsidRDefault="00275C53">
            <w:r w:rsidRPr="002C0178">
              <w:t>Name &amp; Surname:</w:t>
            </w:r>
          </w:p>
        </w:tc>
        <w:tc>
          <w:tcPr>
            <w:tcW w:w="6946" w:type="dxa"/>
          </w:tcPr>
          <w:p w14:paraId="6BAC7360" w14:textId="77777777" w:rsidR="00275C53" w:rsidRPr="002C0178" w:rsidRDefault="00275C53"/>
        </w:tc>
      </w:tr>
      <w:tr w:rsidR="00275C53" w14:paraId="3851046B" w14:textId="77777777" w:rsidTr="003563DE">
        <w:tc>
          <w:tcPr>
            <w:tcW w:w="4050" w:type="dxa"/>
          </w:tcPr>
          <w:p w14:paraId="2BEE1F6E" w14:textId="77777777" w:rsidR="00275C53" w:rsidRPr="002C0178" w:rsidRDefault="00275C53">
            <w:r w:rsidRPr="002C0178">
              <w:t xml:space="preserve">ID: </w:t>
            </w:r>
          </w:p>
        </w:tc>
        <w:tc>
          <w:tcPr>
            <w:tcW w:w="6946" w:type="dxa"/>
          </w:tcPr>
          <w:p w14:paraId="693884F1" w14:textId="77777777" w:rsidR="00275C53" w:rsidRPr="002C0178" w:rsidRDefault="00275C53"/>
        </w:tc>
      </w:tr>
      <w:tr w:rsidR="00275C53" w14:paraId="4D72B495" w14:textId="77777777" w:rsidTr="003563DE">
        <w:tc>
          <w:tcPr>
            <w:tcW w:w="4050" w:type="dxa"/>
          </w:tcPr>
          <w:p w14:paraId="172341CF" w14:textId="77777777" w:rsidR="00275C53" w:rsidRPr="002C0178" w:rsidRDefault="00275C53">
            <w:r w:rsidRPr="002C0178">
              <w:t>Address</w:t>
            </w:r>
          </w:p>
        </w:tc>
        <w:tc>
          <w:tcPr>
            <w:tcW w:w="6946" w:type="dxa"/>
          </w:tcPr>
          <w:p w14:paraId="3EA059DF" w14:textId="77777777" w:rsidR="00275C53" w:rsidRPr="002C0178" w:rsidRDefault="00275C53"/>
          <w:p w14:paraId="28A49847" w14:textId="77777777" w:rsidR="005436C3" w:rsidRPr="002C0178" w:rsidRDefault="005436C3"/>
        </w:tc>
      </w:tr>
      <w:tr w:rsidR="00275C53" w14:paraId="15AAF4EE" w14:textId="77777777" w:rsidTr="003563DE">
        <w:tc>
          <w:tcPr>
            <w:tcW w:w="4050" w:type="dxa"/>
          </w:tcPr>
          <w:p w14:paraId="44869B56" w14:textId="77777777" w:rsidR="00275C53" w:rsidRPr="002C0178" w:rsidRDefault="00275C53" w:rsidP="00460FA9">
            <w:r w:rsidRPr="002C0178">
              <w:t>Cell:</w:t>
            </w:r>
          </w:p>
        </w:tc>
        <w:tc>
          <w:tcPr>
            <w:tcW w:w="6946" w:type="dxa"/>
          </w:tcPr>
          <w:p w14:paraId="7B01F899" w14:textId="77777777" w:rsidR="00275C53" w:rsidRPr="002C0178" w:rsidRDefault="00275C53"/>
        </w:tc>
      </w:tr>
      <w:tr w:rsidR="00275C53" w14:paraId="062EB6B0" w14:textId="77777777" w:rsidTr="002A2068">
        <w:tc>
          <w:tcPr>
            <w:tcW w:w="4050" w:type="dxa"/>
            <w:shd w:val="clear" w:color="auto" w:fill="auto"/>
          </w:tcPr>
          <w:p w14:paraId="5A82FEF0" w14:textId="19E18055" w:rsidR="00275C53" w:rsidRPr="002C0178" w:rsidRDefault="002A2068" w:rsidP="00373F5F">
            <w:r>
              <w:t>Signature:</w:t>
            </w:r>
          </w:p>
        </w:tc>
        <w:tc>
          <w:tcPr>
            <w:tcW w:w="6946" w:type="dxa"/>
            <w:shd w:val="clear" w:color="auto" w:fill="auto"/>
          </w:tcPr>
          <w:p w14:paraId="6E7B2B08" w14:textId="77777777" w:rsidR="00275C53" w:rsidRPr="002C0178" w:rsidRDefault="00275C53"/>
        </w:tc>
      </w:tr>
      <w:tr w:rsidR="00275C53" w14:paraId="3D7CF5D3" w14:textId="77777777" w:rsidTr="003563DE">
        <w:tc>
          <w:tcPr>
            <w:tcW w:w="4050" w:type="dxa"/>
          </w:tcPr>
          <w:p w14:paraId="49233D40" w14:textId="68B939FE" w:rsidR="00275C53" w:rsidRPr="002C0178" w:rsidRDefault="00275C53" w:rsidP="003563DE">
            <w:r w:rsidRPr="002C0178">
              <w:t xml:space="preserve">Name of </w:t>
            </w:r>
            <w:r w:rsidR="003563DE">
              <w:t>Intuition</w:t>
            </w:r>
            <w:r w:rsidRPr="002C0178">
              <w:t>:</w:t>
            </w:r>
          </w:p>
        </w:tc>
        <w:tc>
          <w:tcPr>
            <w:tcW w:w="6946" w:type="dxa"/>
          </w:tcPr>
          <w:p w14:paraId="67F1ACBE" w14:textId="77777777" w:rsidR="00275C53" w:rsidRPr="002C0178" w:rsidRDefault="00275C53"/>
        </w:tc>
      </w:tr>
      <w:tr w:rsidR="00275C53" w14:paraId="1A63D76F" w14:textId="77777777" w:rsidTr="003563DE">
        <w:tc>
          <w:tcPr>
            <w:tcW w:w="4050" w:type="dxa"/>
          </w:tcPr>
          <w:p w14:paraId="7DEF82B4" w14:textId="7DAB28A4" w:rsidR="00275C53" w:rsidRPr="002C0178" w:rsidRDefault="00275C53" w:rsidP="003563DE">
            <w:r w:rsidRPr="002C0178">
              <w:t>Reason for</w:t>
            </w:r>
            <w:r w:rsidR="003563DE">
              <w:t xml:space="preserve"> using personal information</w:t>
            </w:r>
            <w:r w:rsidRPr="002C0178">
              <w:t>:</w:t>
            </w:r>
          </w:p>
        </w:tc>
        <w:tc>
          <w:tcPr>
            <w:tcW w:w="6946" w:type="dxa"/>
          </w:tcPr>
          <w:p w14:paraId="68763889" w14:textId="7DCDC3FC" w:rsidR="005436C3" w:rsidRPr="002C0178" w:rsidRDefault="003A31AA">
            <w:r>
              <w:t xml:space="preserve"> </w:t>
            </w:r>
          </w:p>
        </w:tc>
      </w:tr>
    </w:tbl>
    <w:p w14:paraId="270614D8" w14:textId="7B04F226" w:rsidR="005436C3" w:rsidRDefault="005436C3" w:rsidP="005436C3">
      <w:pPr>
        <w:jc w:val="center"/>
        <w:rPr>
          <w:rFonts w:eastAsia="Times New Roman" w:cs="Times New Roman"/>
          <w:b/>
          <w:i/>
          <w:lang w:val="en-GB" w:eastAsia="ar-SA"/>
        </w:rPr>
      </w:pPr>
    </w:p>
    <w:p w14:paraId="07CAA1A1" w14:textId="1C85F72B" w:rsidR="002A2068" w:rsidRPr="005436C3" w:rsidRDefault="002A2068" w:rsidP="005436C3">
      <w:pPr>
        <w:jc w:val="center"/>
        <w:rPr>
          <w:rFonts w:eastAsia="Times New Roman" w:cs="Times New Roman"/>
          <w:b/>
          <w:i/>
          <w:lang w:val="en-GB" w:eastAsia="ar-SA"/>
        </w:rPr>
      </w:pPr>
      <w:r>
        <w:rPr>
          <w:rFonts w:eastAsia="Times New Roman" w:cs="Times New Roman"/>
          <w:b/>
          <w:i/>
          <w:lang w:val="en-GB" w:eastAsia="ar-SA"/>
        </w:rPr>
        <w:t>Agree that the following information has been discussed with me and I understand and agree to the terms laid out.</w:t>
      </w:r>
    </w:p>
    <w:tbl>
      <w:tblPr>
        <w:tblStyle w:val="TableGrid"/>
        <w:tblW w:w="9465" w:type="dxa"/>
        <w:tblLook w:val="04A0" w:firstRow="1" w:lastRow="0" w:firstColumn="1" w:lastColumn="0" w:noHBand="0" w:noVBand="1"/>
      </w:tblPr>
      <w:tblGrid>
        <w:gridCol w:w="959"/>
        <w:gridCol w:w="6520"/>
        <w:gridCol w:w="993"/>
        <w:gridCol w:w="993"/>
      </w:tblGrid>
      <w:tr w:rsidR="00140E9A" w14:paraId="124761ED" w14:textId="77777777" w:rsidTr="00F7318B">
        <w:tc>
          <w:tcPr>
            <w:tcW w:w="959" w:type="dxa"/>
          </w:tcPr>
          <w:p w14:paraId="69E9A959" w14:textId="77777777" w:rsidR="00140E9A" w:rsidRPr="002C0178" w:rsidRDefault="00140E9A" w:rsidP="002A206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14:paraId="4412B757" w14:textId="026DBDDB" w:rsidR="00140E9A" w:rsidRPr="002C0178" w:rsidRDefault="00140E9A" w:rsidP="004D448E">
            <w:r>
              <w:t>Accountability – the responsible party</w:t>
            </w:r>
          </w:p>
        </w:tc>
        <w:tc>
          <w:tcPr>
            <w:tcW w:w="993" w:type="dxa"/>
          </w:tcPr>
          <w:p w14:paraId="1D104FB0" w14:textId="3072821B" w:rsidR="00140E9A" w:rsidRPr="002C0178" w:rsidRDefault="00140E9A" w:rsidP="004D448E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93" w:type="dxa"/>
          </w:tcPr>
          <w:p w14:paraId="15CDC691" w14:textId="33F62605" w:rsidR="00140E9A" w:rsidRPr="002C0178" w:rsidRDefault="00140E9A" w:rsidP="004D448E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40E9A" w14:paraId="3AE5E491" w14:textId="77777777" w:rsidTr="00F7318B">
        <w:tc>
          <w:tcPr>
            <w:tcW w:w="959" w:type="dxa"/>
          </w:tcPr>
          <w:p w14:paraId="016B02F4" w14:textId="77777777" w:rsidR="00140E9A" w:rsidRPr="002C0178" w:rsidRDefault="00140E9A" w:rsidP="002A206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14:paraId="015D08E9" w14:textId="7480CC3F" w:rsidR="00140E9A" w:rsidRPr="002C0178" w:rsidRDefault="00140E9A" w:rsidP="004D448E">
            <w:r>
              <w:t>Processing limitation – strict controls to lawfully process data</w:t>
            </w:r>
          </w:p>
        </w:tc>
        <w:tc>
          <w:tcPr>
            <w:tcW w:w="993" w:type="dxa"/>
          </w:tcPr>
          <w:p w14:paraId="692B83F2" w14:textId="26B33D24" w:rsidR="00140E9A" w:rsidRPr="002C0178" w:rsidRDefault="00140E9A" w:rsidP="004D448E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93" w:type="dxa"/>
          </w:tcPr>
          <w:p w14:paraId="4571D42F" w14:textId="453D6585" w:rsidR="00140E9A" w:rsidRPr="002C0178" w:rsidRDefault="00140E9A" w:rsidP="004D448E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40E9A" w14:paraId="0D214511" w14:textId="77777777" w:rsidTr="00F7318B">
        <w:tc>
          <w:tcPr>
            <w:tcW w:w="959" w:type="dxa"/>
          </w:tcPr>
          <w:p w14:paraId="207E722F" w14:textId="77777777" w:rsidR="00140E9A" w:rsidRPr="002C0178" w:rsidRDefault="00140E9A" w:rsidP="002A206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14:paraId="2DEF30F1" w14:textId="15A14B36" w:rsidR="00140E9A" w:rsidRPr="002C0178" w:rsidRDefault="00140E9A" w:rsidP="004D448E">
            <w:r>
              <w:t>Purpose specification – limits the data they have collected</w:t>
            </w:r>
          </w:p>
        </w:tc>
        <w:tc>
          <w:tcPr>
            <w:tcW w:w="993" w:type="dxa"/>
          </w:tcPr>
          <w:p w14:paraId="4C356C69" w14:textId="5F6C782E" w:rsidR="00140E9A" w:rsidRPr="002C0178" w:rsidRDefault="00140E9A" w:rsidP="004D448E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93" w:type="dxa"/>
          </w:tcPr>
          <w:p w14:paraId="388CD056" w14:textId="5F4B66E2" w:rsidR="00140E9A" w:rsidRPr="002C0178" w:rsidRDefault="00140E9A" w:rsidP="004D448E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40E9A" w14:paraId="793B2E9D" w14:textId="77777777" w:rsidTr="00F7318B">
        <w:tc>
          <w:tcPr>
            <w:tcW w:w="959" w:type="dxa"/>
          </w:tcPr>
          <w:p w14:paraId="32FA764B" w14:textId="77777777" w:rsidR="00140E9A" w:rsidRPr="002C0178" w:rsidRDefault="00140E9A" w:rsidP="002A206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14:paraId="4D98F2B0" w14:textId="2EA6764E" w:rsidR="00140E9A" w:rsidRPr="002C0178" w:rsidRDefault="00140E9A" w:rsidP="004D448E">
            <w:r>
              <w:t>Further processing limitation – how they can and can’t  process data</w:t>
            </w:r>
          </w:p>
        </w:tc>
        <w:tc>
          <w:tcPr>
            <w:tcW w:w="993" w:type="dxa"/>
          </w:tcPr>
          <w:p w14:paraId="7FA322CD" w14:textId="6AB6D4B3" w:rsidR="00140E9A" w:rsidRPr="002C0178" w:rsidRDefault="00140E9A" w:rsidP="004D448E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93" w:type="dxa"/>
          </w:tcPr>
          <w:p w14:paraId="307AFCA6" w14:textId="030AC6C0" w:rsidR="00140E9A" w:rsidRPr="002C0178" w:rsidRDefault="00140E9A" w:rsidP="004D448E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40E9A" w14:paraId="6D887F9E" w14:textId="77777777" w:rsidTr="00F7318B">
        <w:tc>
          <w:tcPr>
            <w:tcW w:w="959" w:type="dxa"/>
          </w:tcPr>
          <w:p w14:paraId="53BD6A87" w14:textId="77777777" w:rsidR="00140E9A" w:rsidRPr="002C0178" w:rsidRDefault="00140E9A" w:rsidP="002A206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14:paraId="24AC9190" w14:textId="7617AFA1" w:rsidR="00140E9A" w:rsidRPr="002C0178" w:rsidRDefault="00140E9A" w:rsidP="004D448E">
            <w:r>
              <w:t>Information quality – must be accurate and complete</w:t>
            </w:r>
          </w:p>
        </w:tc>
        <w:tc>
          <w:tcPr>
            <w:tcW w:w="993" w:type="dxa"/>
          </w:tcPr>
          <w:p w14:paraId="0B5916F6" w14:textId="4F77608E" w:rsidR="00140E9A" w:rsidRPr="002C0178" w:rsidRDefault="00140E9A" w:rsidP="004D448E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93" w:type="dxa"/>
          </w:tcPr>
          <w:p w14:paraId="73D28014" w14:textId="31C01941" w:rsidR="00140E9A" w:rsidRPr="002C0178" w:rsidRDefault="00140E9A" w:rsidP="004D448E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40E9A" w14:paraId="2CBFFDF1" w14:textId="77777777" w:rsidTr="00F7318B">
        <w:tc>
          <w:tcPr>
            <w:tcW w:w="959" w:type="dxa"/>
          </w:tcPr>
          <w:p w14:paraId="389FC47C" w14:textId="77777777" w:rsidR="00140E9A" w:rsidRPr="002C0178" w:rsidRDefault="00140E9A" w:rsidP="002A206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14:paraId="6441958C" w14:textId="508E89DB" w:rsidR="00140E9A" w:rsidRPr="002C0178" w:rsidRDefault="00140E9A" w:rsidP="004D448E">
            <w:r>
              <w:t>Openness – their responsibility to know where they collect data from</w:t>
            </w:r>
          </w:p>
        </w:tc>
        <w:tc>
          <w:tcPr>
            <w:tcW w:w="993" w:type="dxa"/>
          </w:tcPr>
          <w:p w14:paraId="43130728" w14:textId="3195B226" w:rsidR="00140E9A" w:rsidRPr="002C0178" w:rsidRDefault="00140E9A" w:rsidP="004D448E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93" w:type="dxa"/>
          </w:tcPr>
          <w:p w14:paraId="4C066791" w14:textId="56E025FC" w:rsidR="00140E9A" w:rsidRPr="002C0178" w:rsidRDefault="00140E9A" w:rsidP="004D448E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40E9A" w14:paraId="1B85025A" w14:textId="77777777" w:rsidTr="00F7318B">
        <w:tc>
          <w:tcPr>
            <w:tcW w:w="959" w:type="dxa"/>
          </w:tcPr>
          <w:p w14:paraId="0A14F52D" w14:textId="77777777" w:rsidR="00140E9A" w:rsidRPr="002C0178" w:rsidRDefault="00140E9A" w:rsidP="002A206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14:paraId="610E78F7" w14:textId="606D0E33" w:rsidR="00140E9A" w:rsidRPr="002C0178" w:rsidRDefault="00140E9A" w:rsidP="004D448E">
            <w:r>
              <w:t>Security safeguards – Security measures in place</w:t>
            </w:r>
          </w:p>
        </w:tc>
        <w:tc>
          <w:tcPr>
            <w:tcW w:w="993" w:type="dxa"/>
          </w:tcPr>
          <w:p w14:paraId="03438FB9" w14:textId="701E07A4" w:rsidR="00140E9A" w:rsidRPr="002C0178" w:rsidRDefault="00140E9A" w:rsidP="004D448E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93" w:type="dxa"/>
          </w:tcPr>
          <w:p w14:paraId="51ED6693" w14:textId="4B180947" w:rsidR="00140E9A" w:rsidRPr="002C0178" w:rsidRDefault="00140E9A" w:rsidP="004D448E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40E9A" w14:paraId="1EAAF6F4" w14:textId="77777777" w:rsidTr="00F7318B">
        <w:tc>
          <w:tcPr>
            <w:tcW w:w="959" w:type="dxa"/>
          </w:tcPr>
          <w:p w14:paraId="0C765E9D" w14:textId="77777777" w:rsidR="00140E9A" w:rsidRPr="002C0178" w:rsidRDefault="00140E9A" w:rsidP="002A206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14:paraId="34185AE4" w14:textId="4B262BE8" w:rsidR="00140E9A" w:rsidRDefault="00140E9A" w:rsidP="004D448E">
            <w:r>
              <w:t>Data subject participation – The rights of the data subject</w:t>
            </w:r>
          </w:p>
        </w:tc>
        <w:tc>
          <w:tcPr>
            <w:tcW w:w="993" w:type="dxa"/>
          </w:tcPr>
          <w:p w14:paraId="2563BCF7" w14:textId="7428B571" w:rsidR="00140E9A" w:rsidRPr="002C0178" w:rsidRDefault="00140E9A" w:rsidP="004D448E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93" w:type="dxa"/>
          </w:tcPr>
          <w:p w14:paraId="7E5504ED" w14:textId="58C5A949" w:rsidR="00140E9A" w:rsidRPr="002C0178" w:rsidRDefault="00140E9A" w:rsidP="004D448E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60A4F2E1" w14:textId="77777777" w:rsidR="002A2068" w:rsidRDefault="002A2068" w:rsidP="006F7FFE">
      <w:pPr>
        <w:pStyle w:val="NoSpacing"/>
        <w:rPr>
          <w:b/>
        </w:rPr>
      </w:pPr>
    </w:p>
    <w:p w14:paraId="1EB318B9" w14:textId="371CF5F5" w:rsidR="006F7FFE" w:rsidRDefault="006F7FFE" w:rsidP="006F7FFE">
      <w:pPr>
        <w:pStyle w:val="NoSpacing"/>
        <w:rPr>
          <w:b/>
        </w:rPr>
      </w:pPr>
      <w:r w:rsidRPr="002C0178">
        <w:rPr>
          <w:b/>
        </w:rPr>
        <w:t>I, ________________________________ the undersigned declare that the above is true and correct at th</w:t>
      </w:r>
      <w:r w:rsidR="00140E9A">
        <w:rPr>
          <w:b/>
        </w:rPr>
        <w:t>e time of completing this form. And give full consent to use my personal information for Data upload purposes for MerSeta.</w:t>
      </w:r>
    </w:p>
    <w:p w14:paraId="5137F80B" w14:textId="77777777" w:rsidR="00140E9A" w:rsidRDefault="00140E9A" w:rsidP="006F7FFE">
      <w:pPr>
        <w:pStyle w:val="NoSpacing"/>
        <w:rPr>
          <w:b/>
        </w:rPr>
      </w:pPr>
    </w:p>
    <w:p w14:paraId="3306823F" w14:textId="77777777" w:rsidR="002A2068" w:rsidRPr="002C0178" w:rsidRDefault="002A2068" w:rsidP="006F7FFE">
      <w:pPr>
        <w:pStyle w:val="NoSpacing"/>
        <w:rPr>
          <w:b/>
        </w:rPr>
      </w:pPr>
    </w:p>
    <w:tbl>
      <w:tblPr>
        <w:tblStyle w:val="TableGrid"/>
        <w:tblW w:w="9705" w:type="dxa"/>
        <w:tblLook w:val="04A0" w:firstRow="1" w:lastRow="0" w:firstColumn="1" w:lastColumn="0" w:noHBand="0" w:noVBand="1"/>
      </w:tblPr>
      <w:tblGrid>
        <w:gridCol w:w="1095"/>
        <w:gridCol w:w="2214"/>
        <w:gridCol w:w="872"/>
        <w:gridCol w:w="1890"/>
        <w:gridCol w:w="1599"/>
        <w:gridCol w:w="2035"/>
      </w:tblGrid>
      <w:tr w:rsidR="002C0178" w14:paraId="1E5BE627" w14:textId="77777777" w:rsidTr="002C0178">
        <w:trPr>
          <w:trHeight w:val="480"/>
        </w:trPr>
        <w:tc>
          <w:tcPr>
            <w:tcW w:w="1095" w:type="dxa"/>
          </w:tcPr>
          <w:p w14:paraId="37FFB389" w14:textId="77777777" w:rsidR="002C0178" w:rsidRDefault="002C0178">
            <w:r>
              <w:t>Signature</w:t>
            </w:r>
          </w:p>
        </w:tc>
        <w:tc>
          <w:tcPr>
            <w:tcW w:w="2214" w:type="dxa"/>
          </w:tcPr>
          <w:p w14:paraId="67975C51" w14:textId="77777777" w:rsidR="002C0178" w:rsidRDefault="002C0178"/>
          <w:p w14:paraId="34BD8F8E" w14:textId="77777777" w:rsidR="002C0178" w:rsidRDefault="002C0178"/>
        </w:tc>
        <w:tc>
          <w:tcPr>
            <w:tcW w:w="872" w:type="dxa"/>
          </w:tcPr>
          <w:p w14:paraId="6739054A" w14:textId="77777777" w:rsidR="002C0178" w:rsidRDefault="002C0178">
            <w:r>
              <w:t xml:space="preserve">Date: </w:t>
            </w:r>
          </w:p>
        </w:tc>
        <w:tc>
          <w:tcPr>
            <w:tcW w:w="1890" w:type="dxa"/>
          </w:tcPr>
          <w:p w14:paraId="118CC565" w14:textId="77777777" w:rsidR="002C0178" w:rsidRDefault="002C0178"/>
        </w:tc>
        <w:tc>
          <w:tcPr>
            <w:tcW w:w="1599" w:type="dxa"/>
          </w:tcPr>
          <w:p w14:paraId="607D818A" w14:textId="77777777" w:rsidR="002C0178" w:rsidRDefault="002C0178">
            <w:r>
              <w:t>Witness</w:t>
            </w:r>
          </w:p>
        </w:tc>
        <w:tc>
          <w:tcPr>
            <w:tcW w:w="2035" w:type="dxa"/>
          </w:tcPr>
          <w:p w14:paraId="49DF80C5" w14:textId="77777777" w:rsidR="002C0178" w:rsidRDefault="002C0178"/>
        </w:tc>
      </w:tr>
    </w:tbl>
    <w:p w14:paraId="46991ED0" w14:textId="77777777" w:rsidR="002C0178" w:rsidRDefault="002C0178" w:rsidP="002C0178"/>
    <w:sectPr w:rsidR="002C0178" w:rsidSect="000845BA">
      <w:footerReference w:type="default" r:id="rId9"/>
      <w:pgSz w:w="12240" w:h="15840"/>
      <w:pgMar w:top="1440" w:right="1440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BA056" w14:textId="77777777" w:rsidR="00CB1A47" w:rsidRDefault="00CB1A47" w:rsidP="006F7FFE">
      <w:pPr>
        <w:spacing w:after="0" w:line="240" w:lineRule="auto"/>
      </w:pPr>
      <w:r>
        <w:separator/>
      </w:r>
    </w:p>
  </w:endnote>
  <w:endnote w:type="continuationSeparator" w:id="0">
    <w:p w14:paraId="3B260A82" w14:textId="77777777" w:rsidR="00CB1A47" w:rsidRDefault="00CB1A47" w:rsidP="006F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8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727C8" w14:textId="77777777" w:rsidR="006F7FFE" w:rsidRPr="006F7FFE" w:rsidRDefault="006F7FFE" w:rsidP="006F7FFE">
    <w:pPr>
      <w:pStyle w:val="Footer"/>
      <w:jc w:val="center"/>
      <w:rPr>
        <w:b/>
      </w:rPr>
    </w:pPr>
    <w:r w:rsidRPr="006F7FFE">
      <w:rPr>
        <w:b/>
      </w:rPr>
      <w:t>PLEASE NOTE THAT S.A.E.M.T. HAS THE RIGHT TO REFUSE ENTRY TO OUR FACILITY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9553D" w14:textId="77777777" w:rsidR="00CB1A47" w:rsidRDefault="00CB1A47" w:rsidP="006F7FFE">
      <w:pPr>
        <w:spacing w:after="0" w:line="240" w:lineRule="auto"/>
      </w:pPr>
      <w:r>
        <w:separator/>
      </w:r>
    </w:p>
  </w:footnote>
  <w:footnote w:type="continuationSeparator" w:id="0">
    <w:p w14:paraId="0E1CCE78" w14:textId="77777777" w:rsidR="00CB1A47" w:rsidRDefault="00CB1A47" w:rsidP="006F7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57CE"/>
    <w:multiLevelType w:val="hybridMultilevel"/>
    <w:tmpl w:val="E932A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78E79AB"/>
    <w:multiLevelType w:val="hybridMultilevel"/>
    <w:tmpl w:val="B0289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84C33"/>
    <w:multiLevelType w:val="hybridMultilevel"/>
    <w:tmpl w:val="0568D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A6600"/>
    <w:multiLevelType w:val="hybridMultilevel"/>
    <w:tmpl w:val="CDE2E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148D5"/>
    <w:multiLevelType w:val="hybridMultilevel"/>
    <w:tmpl w:val="B8D0B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C1C5E"/>
    <w:multiLevelType w:val="hybridMultilevel"/>
    <w:tmpl w:val="DB084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CA"/>
    <w:rsid w:val="000845BA"/>
    <w:rsid w:val="000B0750"/>
    <w:rsid w:val="000F6ACA"/>
    <w:rsid w:val="00140E9A"/>
    <w:rsid w:val="00165F1E"/>
    <w:rsid w:val="001A7981"/>
    <w:rsid w:val="00263FE6"/>
    <w:rsid w:val="00275C53"/>
    <w:rsid w:val="002A2068"/>
    <w:rsid w:val="002C0178"/>
    <w:rsid w:val="002C1611"/>
    <w:rsid w:val="003563DE"/>
    <w:rsid w:val="003A31AA"/>
    <w:rsid w:val="003A37FD"/>
    <w:rsid w:val="005436C3"/>
    <w:rsid w:val="005633B2"/>
    <w:rsid w:val="006F7FFE"/>
    <w:rsid w:val="007D1CA3"/>
    <w:rsid w:val="00A6329F"/>
    <w:rsid w:val="00AA1913"/>
    <w:rsid w:val="00B13A81"/>
    <w:rsid w:val="00B90C0A"/>
    <w:rsid w:val="00BD3211"/>
    <w:rsid w:val="00BF594A"/>
    <w:rsid w:val="00C1750A"/>
    <w:rsid w:val="00C3284D"/>
    <w:rsid w:val="00C9172C"/>
    <w:rsid w:val="00CB1A47"/>
    <w:rsid w:val="00E57832"/>
    <w:rsid w:val="00F7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87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36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FFE"/>
  </w:style>
  <w:style w:type="paragraph" w:styleId="Footer">
    <w:name w:val="footer"/>
    <w:basedOn w:val="Normal"/>
    <w:link w:val="FooterChar"/>
    <w:uiPriority w:val="99"/>
    <w:unhideWhenUsed/>
    <w:rsid w:val="006F7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FFE"/>
  </w:style>
  <w:style w:type="paragraph" w:styleId="NoSpacing">
    <w:name w:val="No Spacing"/>
    <w:uiPriority w:val="1"/>
    <w:qFormat/>
    <w:rsid w:val="006F7F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36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FFE"/>
  </w:style>
  <w:style w:type="paragraph" w:styleId="Footer">
    <w:name w:val="footer"/>
    <w:basedOn w:val="Normal"/>
    <w:link w:val="FooterChar"/>
    <w:uiPriority w:val="99"/>
    <w:unhideWhenUsed/>
    <w:rsid w:val="006F7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FFE"/>
  </w:style>
  <w:style w:type="paragraph" w:styleId="NoSpacing">
    <w:name w:val="No Spacing"/>
    <w:uiPriority w:val="1"/>
    <w:qFormat/>
    <w:rsid w:val="006F7F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2020-05-14T09:41:00Z</cp:lastPrinted>
  <dcterms:created xsi:type="dcterms:W3CDTF">2021-06-07T17:27:00Z</dcterms:created>
  <dcterms:modified xsi:type="dcterms:W3CDTF">2021-06-07T17:27:00Z</dcterms:modified>
</cp:coreProperties>
</file>